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56F94" w14:textId="3A329015" w:rsidR="00917120" w:rsidRDefault="00000000">
      <w:pPr>
        <w:pStyle w:val="Heading1"/>
        <w:rPr>
          <w:sz w:val="24"/>
        </w:rPr>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 xml:space="preserve"> Valley Primary School </w:t>
      </w:r>
      <w:r>
        <w:rPr>
          <w:sz w:val="24"/>
        </w:rPr>
        <w:t>Three year strategy for 2024-2027</w:t>
      </w:r>
      <w:r w:rsidR="007F1891">
        <w:rPr>
          <w:sz w:val="24"/>
        </w:rPr>
        <w:t xml:space="preserve">                  </w:t>
      </w:r>
      <w:r>
        <w:rPr>
          <w:sz w:val="24"/>
        </w:rPr>
        <w:t>Reviewed in December 2025</w:t>
      </w:r>
      <w:r w:rsidR="007F1891">
        <w:rPr>
          <w:sz w:val="24"/>
        </w:rPr>
        <w:t xml:space="preserve"> </w:t>
      </w:r>
    </w:p>
    <w:p w14:paraId="62966F0F" w14:textId="77777777" w:rsidR="00996C54" w:rsidRDefault="00000000" w:rsidP="64312784">
      <w:pPr>
        <w:pStyle w:val="Heading2"/>
        <w:rPr>
          <w:b w:val="0"/>
          <w:color w:val="auto"/>
          <w:sz w:val="24"/>
          <w:szCs w:val="24"/>
        </w:rPr>
      </w:pPr>
      <w:r w:rsidRPr="64312784">
        <w:rPr>
          <w:b w:val="0"/>
          <w:color w:val="auto"/>
          <w:sz w:val="24"/>
          <w:szCs w:val="24"/>
        </w:rPr>
        <w:t xml:space="preserve">This statement details our school’s use of pupil premium to help improve the attainment of our disadvantaged pupils. </w:t>
      </w:r>
    </w:p>
    <w:p w14:paraId="402F7AAD" w14:textId="77777777" w:rsidR="00996C54" w:rsidRDefault="00000000">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78820BB9" w14:textId="77777777" w:rsidR="00996C54" w:rsidRDefault="00000000">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3281E3D5" w14:textId="77777777" w:rsidTr="75891E6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30089FFC" w14:textId="77777777" w:rsidR="00996C54" w:rsidRDefault="00000000">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55EE500D" w14:textId="77777777" w:rsidR="00996C54" w:rsidRDefault="00000000">
            <w:pPr>
              <w:pStyle w:val="TableHeader"/>
              <w:jc w:val="left"/>
            </w:pPr>
            <w:r>
              <w:t>Data</w:t>
            </w:r>
          </w:p>
        </w:tc>
      </w:tr>
      <w:tr w:rsidR="00E66558" w14:paraId="11A16E16" w14:textId="77777777" w:rsidTr="75891E6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2571" w14:textId="77777777" w:rsidR="00996C54" w:rsidRPr="003C6B5D" w:rsidRDefault="00000000">
            <w:pPr>
              <w:pStyle w:val="TableRow"/>
              <w:rPr>
                <w:color w:val="auto"/>
                <w:sz w:val="22"/>
                <w:szCs w:val="22"/>
              </w:rPr>
            </w:pPr>
            <w:r w:rsidRPr="003C6B5D">
              <w:rPr>
                <w:color w:val="auto"/>
                <w:sz w:val="22"/>
                <w:szCs w:val="22"/>
              </w:rP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F2956" w14:textId="77777777" w:rsidR="00996C54" w:rsidRPr="003C6B5D" w:rsidRDefault="00000000">
            <w:pPr>
              <w:pStyle w:val="TableRow"/>
              <w:rPr>
                <w:color w:val="auto"/>
                <w:sz w:val="22"/>
                <w:szCs w:val="22"/>
              </w:rPr>
            </w:pPr>
            <w:r w:rsidRPr="003C6B5D">
              <w:rPr>
                <w:color w:val="auto"/>
                <w:sz w:val="22"/>
                <w:szCs w:val="22"/>
              </w:rPr>
              <w:t>586</w:t>
            </w:r>
          </w:p>
        </w:tc>
      </w:tr>
      <w:tr w:rsidR="00E66558" w14:paraId="1763615E" w14:textId="77777777" w:rsidTr="75891E6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8EB0D" w14:textId="77777777" w:rsidR="00996C54" w:rsidRPr="003C6B5D" w:rsidRDefault="00000000">
            <w:pPr>
              <w:pStyle w:val="TableRow"/>
              <w:rPr>
                <w:sz w:val="22"/>
                <w:szCs w:val="22"/>
              </w:rPr>
            </w:pPr>
            <w:r w:rsidRPr="003C6B5D">
              <w:rPr>
                <w:sz w:val="22"/>
                <w:szCs w:val="22"/>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E403D" w14:textId="77777777" w:rsidR="00996C54" w:rsidRPr="003C6B5D" w:rsidRDefault="00000000" w:rsidP="00777017">
            <w:pPr>
              <w:pStyle w:val="TableRow"/>
              <w:ind w:left="0"/>
              <w:rPr>
                <w:sz w:val="22"/>
                <w:szCs w:val="22"/>
              </w:rPr>
            </w:pPr>
            <w:r w:rsidRPr="003C6B5D">
              <w:rPr>
                <w:sz w:val="22"/>
                <w:szCs w:val="22"/>
              </w:rPr>
              <w:t>15.7%</w:t>
            </w:r>
          </w:p>
        </w:tc>
      </w:tr>
      <w:tr w:rsidR="00E66558" w14:paraId="0241514F" w14:textId="77777777" w:rsidTr="75891E6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1AA1" w14:textId="77777777" w:rsidR="00996C54" w:rsidRPr="003C6B5D" w:rsidRDefault="00000000">
            <w:pPr>
              <w:pStyle w:val="TableRow"/>
              <w:rPr>
                <w:sz w:val="22"/>
                <w:szCs w:val="22"/>
              </w:rPr>
            </w:pPr>
            <w:r w:rsidRPr="003C6B5D">
              <w:rPr>
                <w:sz w:val="22"/>
                <w:szCs w:val="22"/>
              </w:rPr>
              <w:t xml:space="preserve">Academic year/years that our current pupil premium strategy plan covers </w:t>
            </w:r>
            <w:r w:rsidRPr="003C6B5D">
              <w:rPr>
                <w:b/>
                <w:bCs/>
                <w:sz w:val="22"/>
                <w:szCs w:val="22"/>
              </w:rPr>
              <w:t>(3-year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97745" w14:textId="77777777" w:rsidR="00996C54" w:rsidRPr="003C6B5D" w:rsidRDefault="00000000" w:rsidP="00651357">
            <w:pPr>
              <w:pStyle w:val="TableRow"/>
              <w:ind w:left="0"/>
              <w:rPr>
                <w:sz w:val="22"/>
                <w:szCs w:val="22"/>
              </w:rPr>
            </w:pPr>
            <w:r w:rsidRPr="003C6B5D">
              <w:rPr>
                <w:sz w:val="22"/>
                <w:szCs w:val="22"/>
              </w:rPr>
              <w:t>2024/2025 to 2026/2027</w:t>
            </w:r>
          </w:p>
        </w:tc>
      </w:tr>
      <w:tr w:rsidR="00E66558" w14:paraId="3B267627" w14:textId="77777777" w:rsidTr="75891E6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02DE" w14:textId="77777777" w:rsidR="00996C54" w:rsidRPr="003C6B5D" w:rsidRDefault="00000000">
            <w:pPr>
              <w:pStyle w:val="TableRow"/>
              <w:rPr>
                <w:sz w:val="22"/>
                <w:szCs w:val="22"/>
              </w:rPr>
            </w:pPr>
            <w:r w:rsidRPr="003C6B5D">
              <w:rPr>
                <w:sz w:val="22"/>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FB6DA" w14:textId="77777777" w:rsidR="00996C54" w:rsidRPr="003C6B5D" w:rsidRDefault="00000000" w:rsidP="00937F22">
            <w:pPr>
              <w:pStyle w:val="TableRow"/>
              <w:rPr>
                <w:sz w:val="22"/>
                <w:szCs w:val="22"/>
              </w:rPr>
            </w:pPr>
            <w:r w:rsidRPr="003C6B5D">
              <w:rPr>
                <w:sz w:val="22"/>
                <w:szCs w:val="22"/>
              </w:rPr>
              <w:t>December 2025</w:t>
            </w:r>
          </w:p>
        </w:tc>
      </w:tr>
      <w:tr w:rsidR="00E66558" w14:paraId="4228C952" w14:textId="77777777" w:rsidTr="75891E6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F8F68" w14:textId="77777777" w:rsidR="00996C54" w:rsidRPr="003C6B5D" w:rsidRDefault="00000000">
            <w:pPr>
              <w:pStyle w:val="TableRow"/>
              <w:rPr>
                <w:sz w:val="22"/>
                <w:szCs w:val="22"/>
              </w:rPr>
            </w:pPr>
            <w:r w:rsidRPr="003C6B5D">
              <w:rPr>
                <w:sz w:val="22"/>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D6F70" w14:textId="77777777" w:rsidR="00996C54" w:rsidRPr="003C6B5D" w:rsidRDefault="00000000">
            <w:pPr>
              <w:pStyle w:val="TableRow"/>
              <w:rPr>
                <w:sz w:val="22"/>
                <w:szCs w:val="22"/>
              </w:rPr>
            </w:pPr>
            <w:r w:rsidRPr="003C6B5D">
              <w:rPr>
                <w:sz w:val="22"/>
                <w:szCs w:val="22"/>
              </w:rPr>
              <w:t>July 2026</w:t>
            </w:r>
          </w:p>
        </w:tc>
      </w:tr>
      <w:tr w:rsidR="00E66558" w14:paraId="392FA79B" w14:textId="77777777" w:rsidTr="75891E6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01A05" w14:textId="77777777" w:rsidR="00996C54" w:rsidRPr="003C6B5D" w:rsidRDefault="00000000">
            <w:pPr>
              <w:pStyle w:val="TableRow"/>
              <w:rPr>
                <w:sz w:val="22"/>
                <w:szCs w:val="22"/>
              </w:rPr>
            </w:pPr>
            <w:r w:rsidRPr="003C6B5D">
              <w:rPr>
                <w:sz w:val="22"/>
                <w:szCs w:val="22"/>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2F361" w14:textId="77777777" w:rsidR="00996C54" w:rsidRPr="003C6B5D" w:rsidRDefault="00000000">
            <w:pPr>
              <w:pStyle w:val="TableRow"/>
              <w:rPr>
                <w:sz w:val="22"/>
                <w:szCs w:val="22"/>
              </w:rPr>
            </w:pPr>
            <w:r w:rsidRPr="003C6B5D">
              <w:rPr>
                <w:sz w:val="22"/>
                <w:szCs w:val="22"/>
              </w:rPr>
              <w:t>Susan Milewski (Headteacher)</w:t>
            </w:r>
          </w:p>
        </w:tc>
      </w:tr>
      <w:tr w:rsidR="00E66558" w14:paraId="62A0D74C" w14:textId="77777777" w:rsidTr="75891E6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DB734" w14:textId="77777777" w:rsidR="00996C54" w:rsidRPr="003C6B5D" w:rsidRDefault="00000000">
            <w:pPr>
              <w:pStyle w:val="TableRow"/>
              <w:rPr>
                <w:sz w:val="22"/>
                <w:szCs w:val="22"/>
              </w:rPr>
            </w:pPr>
            <w:r w:rsidRPr="003C6B5D">
              <w:rPr>
                <w:sz w:val="22"/>
                <w:szCs w:val="22"/>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A342E" w14:textId="36F5371F" w:rsidR="00996C54" w:rsidRPr="003C6B5D" w:rsidRDefault="007F1891">
            <w:pPr>
              <w:pStyle w:val="TableRow"/>
              <w:rPr>
                <w:sz w:val="22"/>
                <w:szCs w:val="22"/>
              </w:rPr>
            </w:pPr>
            <w:r w:rsidRPr="003C6B5D">
              <w:rPr>
                <w:sz w:val="22"/>
                <w:szCs w:val="22"/>
              </w:rPr>
              <w:t xml:space="preserve">Kirsty Wilton  (DHT) </w:t>
            </w:r>
          </w:p>
        </w:tc>
      </w:tr>
      <w:tr w:rsidR="00E66558" w14:paraId="58A888FE" w14:textId="77777777" w:rsidTr="75891E6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071EC" w14:textId="77777777" w:rsidR="00996C54" w:rsidRPr="003C6B5D" w:rsidRDefault="00000000">
            <w:pPr>
              <w:pStyle w:val="TableRow"/>
              <w:rPr>
                <w:sz w:val="22"/>
                <w:szCs w:val="22"/>
              </w:rPr>
            </w:pPr>
            <w:r w:rsidRPr="003C6B5D">
              <w:rPr>
                <w:sz w:val="22"/>
                <w:szCs w:val="22"/>
              </w:rPr>
              <w:t>Governor / Trustee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F597B" w14:textId="77777777" w:rsidR="00996C54" w:rsidRPr="003C6B5D" w:rsidRDefault="00000000">
            <w:pPr>
              <w:pStyle w:val="TableRow"/>
              <w:rPr>
                <w:sz w:val="22"/>
                <w:szCs w:val="22"/>
              </w:rPr>
            </w:pPr>
            <w:r w:rsidRPr="003C6B5D">
              <w:rPr>
                <w:sz w:val="22"/>
                <w:szCs w:val="22"/>
              </w:rPr>
              <w:t>Michael Szwaba</w:t>
            </w:r>
          </w:p>
        </w:tc>
      </w:tr>
    </w:tbl>
    <w:bookmarkEnd w:id="2"/>
    <w:bookmarkEnd w:id="3"/>
    <w:bookmarkEnd w:id="4"/>
    <w:p w14:paraId="549C52C9" w14:textId="77777777" w:rsidR="00996C54" w:rsidRPr="002D3560" w:rsidRDefault="00000000">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44F74FFE" w14:textId="77777777" w:rsidTr="09ABAC5A">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0C20D30C" w14:textId="77777777" w:rsidR="00996C54" w:rsidRDefault="00000000">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624D27A8" w14:textId="77777777" w:rsidR="00996C54" w:rsidRDefault="00000000">
            <w:pPr>
              <w:pStyle w:val="TableRow"/>
            </w:pPr>
            <w:r>
              <w:rPr>
                <w:b/>
              </w:rPr>
              <w:t>Amount</w:t>
            </w:r>
          </w:p>
        </w:tc>
      </w:tr>
      <w:tr w:rsidR="00E66558" w14:paraId="0A9A5E79" w14:textId="77777777" w:rsidTr="09ABAC5A">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C495B1" w14:textId="77777777" w:rsidR="00996C54" w:rsidRPr="003C6B5D" w:rsidRDefault="00000000">
            <w:pPr>
              <w:pStyle w:val="TableRow"/>
              <w:rPr>
                <w:sz w:val="22"/>
                <w:szCs w:val="22"/>
              </w:rPr>
            </w:pPr>
            <w:r w:rsidRPr="003C6B5D">
              <w:rPr>
                <w:sz w:val="22"/>
                <w:szCs w:val="22"/>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FA003" w14:textId="57B9EFED" w:rsidR="00996C54" w:rsidRPr="003C6B5D" w:rsidRDefault="00303754" w:rsidP="00D93203">
            <w:pPr>
              <w:pStyle w:val="TableRow"/>
              <w:ind w:left="0"/>
              <w:rPr>
                <w:sz w:val="22"/>
                <w:szCs w:val="22"/>
              </w:rPr>
            </w:pPr>
            <w:r w:rsidRPr="003C6B5D">
              <w:rPr>
                <w:sz w:val="22"/>
                <w:szCs w:val="22"/>
              </w:rPr>
              <w:t>Current Year: £139,80.00</w:t>
            </w:r>
          </w:p>
        </w:tc>
      </w:tr>
      <w:tr w:rsidR="00E66558" w14:paraId="23ECD51E" w14:textId="77777777" w:rsidTr="09ABAC5A">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26F117" w14:textId="77777777" w:rsidR="00996C54" w:rsidRPr="003C6B5D" w:rsidRDefault="00000000">
            <w:pPr>
              <w:pStyle w:val="TableRow"/>
              <w:rPr>
                <w:sz w:val="22"/>
                <w:szCs w:val="22"/>
              </w:rPr>
            </w:pPr>
            <w:r w:rsidRPr="003C6B5D">
              <w:rPr>
                <w:sz w:val="22"/>
                <w:szCs w:val="22"/>
              </w:rP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BF4D7" w14:textId="77777777" w:rsidR="00996C54" w:rsidRPr="003C6B5D" w:rsidRDefault="00000000">
            <w:pPr>
              <w:pStyle w:val="TableRow"/>
              <w:rPr>
                <w:sz w:val="22"/>
                <w:szCs w:val="22"/>
              </w:rPr>
            </w:pPr>
            <w:r w:rsidRPr="003C6B5D">
              <w:rPr>
                <w:sz w:val="22"/>
                <w:szCs w:val="22"/>
              </w:rPr>
              <w:t>£0</w:t>
            </w:r>
          </w:p>
        </w:tc>
      </w:tr>
      <w:tr w:rsidR="00E66558" w14:paraId="61B3810C" w14:textId="77777777" w:rsidTr="09ABAC5A">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8A0DC" w14:textId="77777777" w:rsidR="00996C54" w:rsidRPr="003C6B5D" w:rsidRDefault="00000000">
            <w:pPr>
              <w:pStyle w:val="TableRow"/>
              <w:rPr>
                <w:b/>
                <w:sz w:val="22"/>
                <w:szCs w:val="22"/>
              </w:rPr>
            </w:pPr>
            <w:r w:rsidRPr="003C6B5D">
              <w:rPr>
                <w:b/>
                <w:sz w:val="22"/>
                <w:szCs w:val="22"/>
              </w:rPr>
              <w:t>Total budget for this academic year</w:t>
            </w:r>
          </w:p>
          <w:p w14:paraId="79000444" w14:textId="77777777" w:rsidR="00996C54" w:rsidRPr="003C6B5D" w:rsidRDefault="00000000">
            <w:pPr>
              <w:pStyle w:val="TableRow"/>
              <w:rPr>
                <w:sz w:val="22"/>
                <w:szCs w:val="22"/>
              </w:rPr>
            </w:pPr>
            <w:r w:rsidRPr="003C6B5D">
              <w:rPr>
                <w:sz w:val="22"/>
                <w:szCs w:val="22"/>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B09792" w14:textId="77777777" w:rsidR="00996C54" w:rsidRPr="003C6B5D" w:rsidRDefault="00000000" w:rsidP="00E43E59">
            <w:pPr>
              <w:pStyle w:val="TableRow"/>
              <w:rPr>
                <w:sz w:val="22"/>
                <w:szCs w:val="22"/>
              </w:rPr>
            </w:pPr>
            <w:r w:rsidRPr="003C6B5D">
              <w:rPr>
                <w:sz w:val="22"/>
                <w:szCs w:val="22"/>
              </w:rPr>
              <w:t>£143,899</w:t>
            </w:r>
          </w:p>
        </w:tc>
      </w:tr>
    </w:tbl>
    <w:p w14:paraId="3E6A8E5D" w14:textId="77777777" w:rsidR="00996C54" w:rsidRDefault="00000000">
      <w:pPr>
        <w:pStyle w:val="Heading1"/>
      </w:pPr>
      <w:r>
        <w:lastRenderedPageBreak/>
        <w:t>Part A: Pupil premium strategy plan</w:t>
      </w:r>
    </w:p>
    <w:p w14:paraId="18E459EF" w14:textId="77777777" w:rsidR="00996C54" w:rsidRDefault="00000000">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7114615C" w14:textId="77777777" w:rsidTr="64312784">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4317E" w14:textId="77777777" w:rsidR="00064453" w:rsidRDefault="00000000" w:rsidP="00453697">
            <w:pPr>
              <w:pStyle w:val="Default"/>
              <w:rPr>
                <w:rFonts w:ascii="Arial" w:hAnsi="Arial" w:cs="Arial"/>
                <w:bCs/>
              </w:rPr>
            </w:pPr>
            <w:r w:rsidRPr="0040291E">
              <w:rPr>
                <w:rFonts w:ascii="Arial" w:hAnsi="Arial" w:cs="Arial"/>
                <w:iCs/>
              </w:rPr>
              <w:t>At Valley, our intention is to e</w:t>
            </w:r>
            <w:r w:rsidRPr="0040291E">
              <w:rPr>
                <w:rFonts w:ascii="Arial" w:hAnsi="Arial" w:cs="Arial"/>
                <w:bCs/>
              </w:rPr>
              <w:t xml:space="preserve">nsure teaching and learning across the school is </w:t>
            </w:r>
          </w:p>
          <w:p w14:paraId="0B5AD8A1" w14:textId="40CE3997" w:rsidR="00996C54" w:rsidRDefault="00000000" w:rsidP="00453697">
            <w:pPr>
              <w:pStyle w:val="Default"/>
              <w:rPr>
                <w:rFonts w:ascii="Arial" w:hAnsi="Arial" w:cs="Arial"/>
              </w:rPr>
            </w:pPr>
            <w:r w:rsidRPr="0040291E">
              <w:rPr>
                <w:rFonts w:ascii="Arial" w:hAnsi="Arial" w:cs="Arial"/>
                <w:bCs/>
              </w:rPr>
              <w:t xml:space="preserve">consistently effective </w:t>
            </w:r>
            <w:r w:rsidRPr="0040291E">
              <w:rPr>
                <w:rFonts w:ascii="Arial" w:hAnsi="Arial" w:cs="Arial"/>
              </w:rPr>
              <w:t xml:space="preserve">in order to raise attainment and progress for all children including those from disadvantaged backgrounds. The focus of our pupil premium strategy is to </w:t>
            </w:r>
          </w:p>
          <w:p w14:paraId="373551CF" w14:textId="77777777" w:rsidR="00996C54" w:rsidRPr="0040291E" w:rsidRDefault="00000000" w:rsidP="00453697">
            <w:pPr>
              <w:pStyle w:val="Default"/>
              <w:rPr>
                <w:rFonts w:ascii="Arial" w:hAnsi="Arial" w:cs="Arial"/>
              </w:rPr>
            </w:pPr>
            <w:r w:rsidRPr="0040291E">
              <w:rPr>
                <w:rFonts w:ascii="Arial" w:hAnsi="Arial" w:cs="Arial"/>
              </w:rPr>
              <w:t xml:space="preserve">support disadvantaged pupils to achieve good progress irrespective of challenges they face.  </w:t>
            </w:r>
          </w:p>
          <w:p w14:paraId="13904A51" w14:textId="77777777" w:rsidR="00996C54" w:rsidRPr="0040291E" w:rsidRDefault="00996C54" w:rsidP="00453697">
            <w:pPr>
              <w:pStyle w:val="Default"/>
              <w:rPr>
                <w:rFonts w:ascii="Arial" w:hAnsi="Arial" w:cs="Arial"/>
              </w:rPr>
            </w:pPr>
          </w:p>
          <w:p w14:paraId="217FD048" w14:textId="77777777" w:rsidR="00996C54" w:rsidRPr="0040291E" w:rsidRDefault="00000000" w:rsidP="00453697">
            <w:pPr>
              <w:pStyle w:val="Default"/>
              <w:rPr>
                <w:rFonts w:ascii="Arial" w:hAnsi="Arial" w:cs="Arial"/>
              </w:rPr>
            </w:pPr>
            <w:r w:rsidRPr="306CC4B9">
              <w:rPr>
                <w:rFonts w:ascii="Arial" w:hAnsi="Arial" w:cs="Arial"/>
              </w:rPr>
              <w:t xml:space="preserve">The evidence is clear that the quality of teachers teaching is one of the most important factors in raising outcomes for disadvantaged and non- disadvantaged pupils. This will be achieved through provision of CPD for teaching staff to further improve consistent quality first teaching, differentiated to meet individual needs. This will also be supported by a culture of high expectations where every member of our school community takes responsibility for the outcomes of disadvantaged pupils and raise expectations of what they can achieve. </w:t>
            </w:r>
          </w:p>
          <w:p w14:paraId="3F661F3E" w14:textId="77777777" w:rsidR="00996C54" w:rsidRPr="0040291E" w:rsidRDefault="00996C54" w:rsidP="00FF672F">
            <w:pPr>
              <w:pStyle w:val="Default"/>
              <w:rPr>
                <w:rFonts w:ascii="Arial" w:hAnsi="Arial" w:cs="Arial"/>
              </w:rPr>
            </w:pPr>
          </w:p>
          <w:p w14:paraId="4BC95322" w14:textId="77777777" w:rsidR="00996C54" w:rsidRPr="0040291E" w:rsidRDefault="00000000" w:rsidP="00FF672F">
            <w:pPr>
              <w:pStyle w:val="Default"/>
              <w:rPr>
                <w:rFonts w:ascii="Arial" w:hAnsi="Arial" w:cs="Arial"/>
              </w:rPr>
            </w:pPr>
            <w:r w:rsidRPr="64312784">
              <w:rPr>
                <w:rFonts w:ascii="Arial" w:hAnsi="Arial" w:cs="Arial"/>
              </w:rPr>
              <w:t>At Valley, many of our pupils have layers of vulnerability in addition to being disadvantaged, e.g. SEND / lower performing group, social care, low attendance. We intend to raise the progress of identified pupils through use of targeted support to supplement teaching and address gaps in learning. Funding will be used to ensure capacity for training and delivery of support including evidence-based intervention programmes.</w:t>
            </w:r>
          </w:p>
          <w:p w14:paraId="05870F61" w14:textId="77777777" w:rsidR="00996C54" w:rsidRPr="0040291E" w:rsidRDefault="00996C54" w:rsidP="00FF672F">
            <w:pPr>
              <w:pStyle w:val="Default"/>
              <w:rPr>
                <w:rFonts w:ascii="Arial" w:hAnsi="Arial" w:cs="Arial"/>
              </w:rPr>
            </w:pPr>
          </w:p>
          <w:p w14:paraId="2965AF6A" w14:textId="77777777" w:rsidR="00996C54" w:rsidRDefault="00000000" w:rsidP="00FF672F">
            <w:pPr>
              <w:pStyle w:val="Default"/>
              <w:rPr>
                <w:rFonts w:ascii="Arial" w:hAnsi="Arial" w:cs="Arial"/>
              </w:rPr>
            </w:pPr>
            <w:r w:rsidRPr="0040291E">
              <w:rPr>
                <w:rFonts w:ascii="Arial" w:hAnsi="Arial" w:cs="Arial"/>
              </w:rPr>
              <w:t xml:space="preserve">In addition, targeted provision will also be made to ensure that all disadvantaged pupils secure positive attendance and that support is in place for emotional wellbeing </w:t>
            </w:r>
          </w:p>
          <w:p w14:paraId="3D0751AC" w14:textId="77777777" w:rsidR="00996C54" w:rsidRDefault="00000000" w:rsidP="00FF672F">
            <w:pPr>
              <w:pStyle w:val="Default"/>
              <w:rPr>
                <w:rFonts w:ascii="Arial" w:hAnsi="Arial" w:cs="Arial"/>
              </w:rPr>
            </w:pPr>
            <w:r w:rsidRPr="0040291E">
              <w:rPr>
                <w:rFonts w:ascii="Arial" w:hAnsi="Arial" w:cs="Arial"/>
              </w:rPr>
              <w:t xml:space="preserve">including for those transitioning into school. We also aim to help pupils access equal opportunities to non-disadvantaged peers and engage with the range of enrichment </w:t>
            </w:r>
          </w:p>
          <w:p w14:paraId="5CD4F6FE" w14:textId="77777777" w:rsidR="00996C54" w:rsidRPr="006728E6" w:rsidRDefault="00000000" w:rsidP="17B8EB29">
            <w:pPr>
              <w:pStyle w:val="Default"/>
              <w:rPr>
                <w:rFonts w:ascii="Arial" w:hAnsi="Arial" w:cs="Arial"/>
                <w:color w:val="F79646"/>
              </w:rPr>
            </w:pPr>
            <w:r w:rsidRPr="17B8EB29">
              <w:rPr>
                <w:rFonts w:ascii="Arial" w:hAnsi="Arial" w:cs="Arial"/>
              </w:rPr>
              <w:t xml:space="preserve">opportunities on offer at Valley Primary School. </w:t>
            </w:r>
            <w:r>
              <w:br/>
            </w:r>
          </w:p>
        </w:tc>
      </w:tr>
    </w:tbl>
    <w:p w14:paraId="35E806A0" w14:textId="77777777" w:rsidR="00996C54" w:rsidRDefault="00000000">
      <w:pPr>
        <w:pStyle w:val="Heading2"/>
        <w:spacing w:before="600"/>
      </w:pPr>
      <w:r>
        <w:t>Challenges</w:t>
      </w:r>
    </w:p>
    <w:p w14:paraId="2152F9E0" w14:textId="77777777" w:rsidR="00996C54" w:rsidRDefault="00000000">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4B86787" w14:textId="77777777" w:rsidTr="67963D5F">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0748C060" w14:textId="77777777" w:rsidR="00996C54" w:rsidRDefault="00000000">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0D08C69F" w14:textId="77777777" w:rsidR="00996C54" w:rsidRDefault="00000000">
            <w:pPr>
              <w:pStyle w:val="TableHeader"/>
              <w:jc w:val="left"/>
            </w:pPr>
            <w:r>
              <w:t xml:space="preserve">Detail of challenge </w:t>
            </w:r>
          </w:p>
        </w:tc>
      </w:tr>
      <w:tr w:rsidR="00876E37" w14:paraId="4B18D8AF" w14:textId="77777777" w:rsidTr="67963D5F">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86E7F" w14:textId="77777777" w:rsidR="00996C54" w:rsidRDefault="00000000" w:rsidP="00876E37">
            <w:pPr>
              <w:pStyle w:val="TableRow"/>
              <w:rPr>
                <w:sz w:val="22"/>
                <w:szCs w:val="22"/>
              </w:rPr>
            </w:pPr>
            <w:r>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3F0C7" w14:textId="77777777" w:rsidR="00996C54" w:rsidRPr="0040291E" w:rsidRDefault="00000000" w:rsidP="00876E37">
            <w:pPr>
              <w:pStyle w:val="TableRow"/>
            </w:pPr>
            <w:r w:rsidRPr="0040291E">
              <w:t xml:space="preserve">The attendance of disadvantaged pupils is below that of our non-disadvantaged pupils. If disadvantaged children are not in school, they cannot learn and the gap widens. If children do not build resilience through regular attendance and punctuality, there are implications for applying that skill in the workplace. </w:t>
            </w:r>
          </w:p>
        </w:tc>
      </w:tr>
      <w:tr w:rsidR="00EC4F2E" w14:paraId="6F43FB55" w14:textId="77777777" w:rsidTr="67963D5F">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30B03" w14:textId="1E0DE1F8" w:rsidR="00EC4F2E" w:rsidRDefault="00EC4F2E" w:rsidP="00876E37">
            <w:pPr>
              <w:pStyle w:val="TableRow"/>
              <w:rPr>
                <w:sz w:val="22"/>
                <w:szCs w:val="22"/>
              </w:rPr>
            </w:pPr>
            <w:r>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A3946" w14:textId="5E2C678D" w:rsidR="00EC4F2E" w:rsidRPr="0040291E" w:rsidRDefault="00EC4F2E" w:rsidP="00876E37">
            <w:pPr>
              <w:pStyle w:val="TableRow"/>
            </w:pPr>
            <w:r>
              <w:t xml:space="preserve">On entry to the Early Years Foundation Stage, there are gaps in children’s attainment in communication and language at age related expectation. </w:t>
            </w:r>
          </w:p>
        </w:tc>
      </w:tr>
      <w:tr w:rsidR="005E01E1" w14:paraId="29F3AEF0" w14:textId="77777777" w:rsidTr="67963D5F">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D9BFA" w14:textId="77777777" w:rsidR="00996C54" w:rsidRDefault="00000000" w:rsidP="00876E37">
            <w:pPr>
              <w:pStyle w:val="TableRow"/>
              <w:rPr>
                <w:sz w:val="22"/>
                <w:szCs w:val="22"/>
              </w:rPr>
            </w:pPr>
            <w:r>
              <w:rPr>
                <w:sz w:val="22"/>
                <w:szCs w:val="22"/>
              </w:rPr>
              <w:lastRenderedPageBreak/>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57699" w14:textId="570FB306" w:rsidR="00996C54" w:rsidRPr="002A7A87" w:rsidRDefault="00000000" w:rsidP="008034F3">
            <w:pPr>
              <w:pStyle w:val="TableRow"/>
              <w:ind w:left="0"/>
              <w:rPr>
                <w:color w:val="F79646"/>
              </w:rPr>
            </w:pPr>
            <w:r>
              <w:t>Disadvantaged pupils in Reception and Year 1 don’t acquire phonics skills at the same pace as their peers, negatively impacting</w:t>
            </w:r>
            <w:r w:rsidR="00EC4F2E">
              <w:t xml:space="preserve"> literacy</w:t>
            </w:r>
            <w:r>
              <w:t xml:space="preserve"> development</w:t>
            </w:r>
            <w:r w:rsidR="00EC4F2E">
              <w:t xml:space="preserve">. </w:t>
            </w:r>
          </w:p>
        </w:tc>
      </w:tr>
      <w:tr w:rsidR="00876E37" w14:paraId="0C0BA077" w14:textId="77777777" w:rsidTr="67963D5F">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B017C" w14:textId="77777777" w:rsidR="00996C54" w:rsidRDefault="00000000" w:rsidP="00876E37">
            <w:pPr>
              <w:pStyle w:val="TableRow"/>
              <w:rPr>
                <w:sz w:val="22"/>
                <w:szCs w:val="22"/>
              </w:rPr>
            </w:pPr>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4B2C8" w14:textId="77777777" w:rsidR="00996C54" w:rsidRPr="00B12AF2" w:rsidRDefault="00000000" w:rsidP="17B8EB29">
            <w:pPr>
              <w:pStyle w:val="TableRow"/>
              <w:ind w:left="0"/>
              <w:rPr>
                <w:color w:val="C0504D"/>
              </w:rPr>
            </w:pPr>
            <w:r w:rsidRPr="17B8EB29">
              <w:rPr>
                <w:color w:val="auto"/>
              </w:rPr>
              <w:t xml:space="preserve">Internal </w:t>
            </w:r>
            <w:r>
              <w:rPr>
                <w:color w:val="auto"/>
              </w:rPr>
              <w:t xml:space="preserve">assessment </w:t>
            </w:r>
            <w:r w:rsidRPr="17B8EB29">
              <w:rPr>
                <w:color w:val="auto"/>
              </w:rPr>
              <w:t>and monitoring show</w:t>
            </w:r>
            <w:r>
              <w:rPr>
                <w:color w:val="auto"/>
              </w:rPr>
              <w:t>s</w:t>
            </w:r>
            <w:r w:rsidRPr="17B8EB29">
              <w:rPr>
                <w:color w:val="auto"/>
              </w:rPr>
              <w:t xml:space="preserve"> that PP children are vulnerable to knowledge gaps in foundation subjects. </w:t>
            </w:r>
          </w:p>
        </w:tc>
      </w:tr>
      <w:tr w:rsidR="00D95AD9" w14:paraId="4B6D4368" w14:textId="77777777" w:rsidTr="67963D5F">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7A7BC" w14:textId="77777777" w:rsidR="00996C54" w:rsidRDefault="00000000" w:rsidP="00876E37">
            <w:pPr>
              <w:pStyle w:val="TableRow"/>
              <w:rPr>
                <w:sz w:val="22"/>
                <w:szCs w:val="22"/>
              </w:rPr>
            </w:pPr>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A9B1B" w14:textId="2F31D64A" w:rsidR="00996C54" w:rsidRPr="004738F2" w:rsidRDefault="00000000" w:rsidP="00BB1448">
            <w:pPr>
              <w:pStyle w:val="TableRow"/>
              <w:ind w:left="0"/>
              <w:rPr>
                <w:color w:val="auto"/>
              </w:rPr>
            </w:pPr>
            <w:r w:rsidRPr="002D3560">
              <w:rPr>
                <w:color w:val="auto"/>
              </w:rPr>
              <w:t>End of year assessment</w:t>
            </w:r>
            <w:r w:rsidR="003C6B5D">
              <w:rPr>
                <w:color w:val="auto"/>
              </w:rPr>
              <w:t>s</w:t>
            </w:r>
            <w:r w:rsidRPr="002D3560">
              <w:rPr>
                <w:color w:val="auto"/>
              </w:rPr>
              <w:t xml:space="preserve"> show that our disadvantaged pupils were most at risk in </w:t>
            </w:r>
            <w:r>
              <w:rPr>
                <w:color w:val="auto"/>
              </w:rPr>
              <w:t>literacy related areas, but with gaps also present in maths.</w:t>
            </w:r>
            <w:r>
              <w:rPr>
                <w:color w:val="auto"/>
              </w:rPr>
              <w:br/>
            </w:r>
          </w:p>
        </w:tc>
      </w:tr>
      <w:tr w:rsidR="005E01E1" w14:paraId="56FCAAC9" w14:textId="77777777" w:rsidTr="67963D5F">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FDC80" w14:textId="77777777" w:rsidR="00996C54" w:rsidRDefault="00000000" w:rsidP="00876E37">
            <w:pPr>
              <w:pStyle w:val="TableRow"/>
              <w:rPr>
                <w:sz w:val="22"/>
                <w:szCs w:val="22"/>
              </w:rPr>
            </w:pPr>
            <w:r>
              <w:rPr>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AEDAC" w14:textId="07D1F702" w:rsidR="00996C54" w:rsidRPr="0040291E" w:rsidRDefault="00000000" w:rsidP="001B0347">
            <w:pPr>
              <w:pStyle w:val="TableRow"/>
              <w:ind w:left="0"/>
            </w:pPr>
            <w:r w:rsidRPr="0040291E">
              <w:t xml:space="preserve">Internal data shows that </w:t>
            </w:r>
            <w:r>
              <w:t>the proportion of PP pupils attaining greater depth standards is below that of peers (non-PP)</w:t>
            </w:r>
            <w:r w:rsidR="003C6B5D">
              <w:t>.</w:t>
            </w:r>
          </w:p>
        </w:tc>
      </w:tr>
      <w:tr w:rsidR="00876E37" w14:paraId="1D79EAE3" w14:textId="77777777" w:rsidTr="67963D5F">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0CFEA" w14:textId="77777777" w:rsidR="00996C54" w:rsidRDefault="00000000" w:rsidP="00876E37">
            <w:pPr>
              <w:pStyle w:val="TableRow"/>
              <w:rPr>
                <w:sz w:val="22"/>
                <w:szCs w:val="22"/>
              </w:rPr>
            </w:pPr>
            <w:r>
              <w:rPr>
                <w:sz w:val="22"/>
                <w:szCs w:val="22"/>
              </w:rPr>
              <w:t>7</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51742" w14:textId="77777777" w:rsidR="00996C54" w:rsidRPr="0040291E" w:rsidRDefault="00000000" w:rsidP="00D41C8D">
            <w:pPr>
              <w:pStyle w:val="TableRowCentered"/>
              <w:ind w:left="0"/>
              <w:jc w:val="left"/>
              <w:rPr>
                <w:iCs/>
                <w:szCs w:val="24"/>
              </w:rPr>
            </w:pPr>
            <w:r w:rsidRPr="0040291E">
              <w:rPr>
                <w:iCs/>
                <w:szCs w:val="24"/>
              </w:rPr>
              <w:t>For some disadvantaged pupils, wellbeing needs have been identified as a barrier</w:t>
            </w:r>
            <w:r>
              <w:rPr>
                <w:iCs/>
                <w:szCs w:val="24"/>
              </w:rPr>
              <w:t xml:space="preserve"> to effective learning. This includes</w:t>
            </w:r>
            <w:r w:rsidRPr="0040291E">
              <w:rPr>
                <w:iCs/>
                <w:szCs w:val="24"/>
              </w:rPr>
              <w:t xml:space="preserve"> identified pupils with social care / pastoral team involvement and pupils new to school.</w:t>
            </w:r>
          </w:p>
        </w:tc>
      </w:tr>
      <w:tr w:rsidR="00876E37" w14:paraId="2779F363" w14:textId="77777777" w:rsidTr="67963D5F">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4CADF" w14:textId="77777777" w:rsidR="00996C54" w:rsidRDefault="00000000" w:rsidP="00876E37">
            <w:pPr>
              <w:pStyle w:val="TableRow"/>
              <w:rPr>
                <w:sz w:val="22"/>
                <w:szCs w:val="22"/>
              </w:rPr>
            </w:pPr>
            <w:r>
              <w:rPr>
                <w:sz w:val="22"/>
                <w:szCs w:val="22"/>
              </w:rPr>
              <w:t>8</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7C6FF" w14:textId="77777777" w:rsidR="00996C54" w:rsidRPr="001B0347" w:rsidRDefault="00000000" w:rsidP="17B8EB29">
            <w:pPr>
              <w:pStyle w:val="TableRowCentered"/>
              <w:ind w:left="0"/>
              <w:jc w:val="left"/>
              <w:rPr>
                <w:color w:val="F79646"/>
              </w:rPr>
            </w:pPr>
            <w:r>
              <w:t>Ensuring pupil premium children have access to a broad range of wider experiences to build their cultural capital. This will include subsidised trips, after school clubs and provision of uniform as needed.</w:t>
            </w:r>
          </w:p>
        </w:tc>
      </w:tr>
      <w:tr w:rsidR="00876E37" w14:paraId="78CE25F8" w14:textId="77777777" w:rsidTr="67963D5F">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AF323" w14:textId="77777777" w:rsidR="00996C54" w:rsidRDefault="00000000" w:rsidP="00876E37">
            <w:pPr>
              <w:pStyle w:val="TableRow"/>
              <w:rPr>
                <w:sz w:val="22"/>
                <w:szCs w:val="22"/>
              </w:rPr>
            </w:pPr>
            <w:r>
              <w:rPr>
                <w:sz w:val="22"/>
                <w:szCs w:val="22"/>
              </w:rPr>
              <w:t>9</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E34D8" w14:textId="77777777" w:rsidR="00996C54" w:rsidRPr="0040291E" w:rsidRDefault="00000000" w:rsidP="00766FB9">
            <w:pPr>
              <w:pStyle w:val="TableRowCentered"/>
              <w:ind w:left="0"/>
              <w:jc w:val="left"/>
              <w:rPr>
                <w:iCs/>
                <w:szCs w:val="24"/>
              </w:rPr>
            </w:pPr>
            <w:r>
              <w:rPr>
                <w:iCs/>
                <w:szCs w:val="24"/>
              </w:rPr>
              <w:t>We</w:t>
            </w:r>
            <w:r w:rsidRPr="0040291E">
              <w:rPr>
                <w:iCs/>
                <w:szCs w:val="24"/>
              </w:rPr>
              <w:t xml:space="preserve"> need to ensure access to ICT and required resources for disadvantaged pupils.</w:t>
            </w:r>
            <w:r>
              <w:rPr>
                <w:iCs/>
                <w:szCs w:val="24"/>
              </w:rPr>
              <w:t xml:space="preserve"> </w:t>
            </w:r>
          </w:p>
        </w:tc>
      </w:tr>
    </w:tbl>
    <w:p w14:paraId="1793A3B1" w14:textId="77777777" w:rsidR="00996C54" w:rsidRDefault="00000000">
      <w:pPr>
        <w:pStyle w:val="Heading2"/>
        <w:spacing w:before="600"/>
      </w:pPr>
      <w:bookmarkStart w:id="16" w:name="_Toc443397160"/>
      <w:r>
        <w:t xml:space="preserve">Intended outcomes </w:t>
      </w:r>
    </w:p>
    <w:p w14:paraId="6AE5CB2B" w14:textId="1CFDAA6C" w:rsidR="00996C54" w:rsidRPr="00D735E6" w:rsidRDefault="00000000">
      <w:pPr>
        <w:rPr>
          <w:color w:val="auto"/>
        </w:rPr>
      </w:pPr>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4178721" w14:textId="77777777" w:rsidTr="64EFE56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0CB024B0" w14:textId="77777777" w:rsidR="00996C54" w:rsidRDefault="00000000">
            <w:pPr>
              <w:pStyle w:val="TableHeader"/>
              <w:jc w:val="left"/>
            </w:pPr>
            <w: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5C7C3559" w14:textId="77777777" w:rsidR="00996C54" w:rsidRDefault="00000000">
            <w:pPr>
              <w:pStyle w:val="TableHeader"/>
              <w:jc w:val="left"/>
            </w:pPr>
            <w:r>
              <w:t>Success criteria</w:t>
            </w:r>
          </w:p>
        </w:tc>
      </w:tr>
      <w:tr w:rsidR="00A4359A" w14:paraId="78A89CDE" w14:textId="77777777" w:rsidTr="64EFE56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7B0C4" w14:textId="07F48884" w:rsidR="00996C54" w:rsidRPr="007254C4" w:rsidRDefault="00000000" w:rsidP="00D735E6">
            <w:pPr>
              <w:pStyle w:val="TableRow"/>
              <w:rPr>
                <w:rFonts w:cs="Arial"/>
              </w:rPr>
            </w:pPr>
            <w:r w:rsidRPr="007254C4">
              <w:rPr>
                <w:rFonts w:cs="Arial"/>
              </w:rPr>
              <w:t>To improve attendance for all groups with a particular focus on PP and SEND to meet at least national expectations for attendance and persistent absence</w:t>
            </w:r>
            <w:r w:rsidR="003C6B5D">
              <w:rPr>
                <w:rFonts w:cs="Arial"/>
              </w:rPr>
              <w:t>.</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51662" w14:textId="77777777" w:rsidR="00996C54" w:rsidRPr="007254C4" w:rsidRDefault="00000000" w:rsidP="67963D5F">
            <w:pPr>
              <w:pStyle w:val="TableRowCentered"/>
              <w:ind w:left="0"/>
              <w:jc w:val="left"/>
              <w:rPr>
                <w:rFonts w:cs="Arial"/>
              </w:rPr>
            </w:pPr>
            <w:r w:rsidRPr="007254C4">
              <w:rPr>
                <w:rFonts w:eastAsia="Open Sans" w:cs="Arial"/>
                <w:color w:val="000000"/>
                <w:szCs w:val="24"/>
              </w:rPr>
              <w:t>Persistent absence will decrease and will be either in line with or below the national percentage.</w:t>
            </w:r>
          </w:p>
        </w:tc>
      </w:tr>
      <w:tr w:rsidR="00196AC9" w14:paraId="66F60CA2" w14:textId="77777777" w:rsidTr="64EFE56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6E6CF" w14:textId="77777777" w:rsidR="00996C54" w:rsidRPr="0040291E" w:rsidRDefault="00000000" w:rsidP="00D735E6">
            <w:pPr>
              <w:pStyle w:val="TableRow"/>
              <w:rPr>
                <w:rFonts w:cs="Calibri"/>
              </w:rPr>
            </w:pPr>
            <w:r w:rsidRPr="0040291E">
              <w:rPr>
                <w:rFonts w:cs="Calibri"/>
              </w:rPr>
              <w:t>Improve oral and language skills among disadvantaged children in EYFS</w:t>
            </w:r>
            <w:r>
              <w:rPr>
                <w:rFonts w:cs="Calibri"/>
              </w:rPr>
              <w:t xml:space="preserve"> and across primary phases.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17E45" w14:textId="77777777" w:rsidR="00996C54" w:rsidRPr="0040291E" w:rsidRDefault="00000000" w:rsidP="0040291E">
            <w:pPr>
              <w:pStyle w:val="TableRowCentered"/>
              <w:ind w:left="0"/>
              <w:jc w:val="left"/>
              <w:rPr>
                <w:szCs w:val="24"/>
              </w:rPr>
            </w:pPr>
            <w:r>
              <w:rPr>
                <w:szCs w:val="24"/>
              </w:rPr>
              <w:t>A</w:t>
            </w:r>
            <w:r w:rsidRPr="0040291E">
              <w:rPr>
                <w:szCs w:val="24"/>
              </w:rPr>
              <w:t>ssessments backed up by lan</w:t>
            </w:r>
            <w:r>
              <w:rPr>
                <w:szCs w:val="24"/>
              </w:rPr>
              <w:t xml:space="preserve">guage screening tools will show an </w:t>
            </w:r>
            <w:r w:rsidRPr="0040291E">
              <w:rPr>
                <w:szCs w:val="24"/>
              </w:rPr>
              <w:t>increase</w:t>
            </w:r>
            <w:r>
              <w:rPr>
                <w:szCs w:val="24"/>
              </w:rPr>
              <w:t xml:space="preserve"> in progress.</w:t>
            </w:r>
          </w:p>
        </w:tc>
      </w:tr>
      <w:tr w:rsidR="00196AC9" w14:paraId="10A3A1FF" w14:textId="77777777" w:rsidTr="64EFE56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AFE7D" w14:textId="77777777" w:rsidR="00996C54" w:rsidRPr="0040291E" w:rsidRDefault="00000000" w:rsidP="00196AC9">
            <w:pPr>
              <w:pStyle w:val="TableRow"/>
              <w:rPr>
                <w:rFonts w:cs="Calibri"/>
              </w:rPr>
            </w:pPr>
            <w:r w:rsidRPr="64312784">
              <w:rPr>
                <w:rFonts w:cs="Calibri"/>
              </w:rPr>
              <w:t>Raise attainment and progress in Phonics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1FA7E" w14:textId="6DAFE0D1" w:rsidR="00996C54" w:rsidRPr="0040291E" w:rsidRDefault="00000000" w:rsidP="005A192C">
            <w:pPr>
              <w:pStyle w:val="TableRowCentered"/>
              <w:ind w:left="0"/>
              <w:jc w:val="left"/>
            </w:pPr>
            <w:r>
              <w:t>The gap will narrow between disadvantaged pupils in Year 1 and peers nationally.</w:t>
            </w:r>
          </w:p>
        </w:tc>
      </w:tr>
      <w:tr w:rsidR="003C6B5D" w14:paraId="46C2EE5F" w14:textId="77777777" w:rsidTr="64EFE56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A4ACC" w14:textId="4B25E766" w:rsidR="003C6B5D" w:rsidRPr="64312784" w:rsidRDefault="003C6B5D" w:rsidP="00196AC9">
            <w:pPr>
              <w:pStyle w:val="TableRow"/>
              <w:rPr>
                <w:rFonts w:cs="Calibri"/>
              </w:rPr>
            </w:pPr>
            <w:r w:rsidRPr="64312784">
              <w:rPr>
                <w:rFonts w:cs="Calibri"/>
              </w:rPr>
              <w:t>Improve attainment and progress in Reading</w:t>
            </w:r>
            <w:r>
              <w:rPr>
                <w:rFonts w:cs="Calibri"/>
              </w:rPr>
              <w:t>.</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0D423" w14:textId="77777777" w:rsidR="003C6B5D" w:rsidRPr="0040291E" w:rsidRDefault="003C6B5D" w:rsidP="003C6B5D">
            <w:pPr>
              <w:pStyle w:val="TableRowCentered"/>
              <w:ind w:left="0"/>
              <w:jc w:val="left"/>
              <w:rPr>
                <w:szCs w:val="24"/>
              </w:rPr>
            </w:pPr>
            <w:r w:rsidRPr="0040291E">
              <w:rPr>
                <w:szCs w:val="24"/>
              </w:rPr>
              <w:t>RWI assessments</w:t>
            </w:r>
            <w:r>
              <w:rPr>
                <w:szCs w:val="24"/>
              </w:rPr>
              <w:t xml:space="preserve"> will</w:t>
            </w:r>
            <w:r w:rsidRPr="0040291E">
              <w:rPr>
                <w:szCs w:val="24"/>
              </w:rPr>
              <w:t xml:space="preserve"> show rapid progress </w:t>
            </w:r>
            <w:r>
              <w:rPr>
                <w:szCs w:val="24"/>
              </w:rPr>
              <w:t xml:space="preserve">in </w:t>
            </w:r>
            <w:r w:rsidRPr="0040291E">
              <w:rPr>
                <w:szCs w:val="24"/>
              </w:rPr>
              <w:t xml:space="preserve">decoding for our early readers. </w:t>
            </w:r>
          </w:p>
          <w:p w14:paraId="60D42CAE" w14:textId="0507D012" w:rsidR="003C6B5D" w:rsidRDefault="003C6B5D" w:rsidP="005A192C">
            <w:pPr>
              <w:pStyle w:val="TableRowCentered"/>
              <w:ind w:left="0"/>
              <w:jc w:val="left"/>
            </w:pPr>
            <w:r>
              <w:t xml:space="preserve">KS1 and 2 outcomes for disadvantaged pupils who are not SEND will show improvement and by 2027 will be broadly in line with national outcomes. </w:t>
            </w:r>
          </w:p>
        </w:tc>
      </w:tr>
      <w:tr w:rsidR="00196AC9" w14:paraId="057DDEE6" w14:textId="77777777" w:rsidTr="64EFE56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A6E87" w14:textId="1CC1FE14" w:rsidR="00996C54" w:rsidRPr="0040291E" w:rsidRDefault="00000000" w:rsidP="64312784">
            <w:pPr>
              <w:pStyle w:val="TableRow"/>
              <w:spacing w:line="259" w:lineRule="auto"/>
            </w:pPr>
            <w:r>
              <w:rPr>
                <w:rFonts w:cs="Calibri"/>
              </w:rPr>
              <w:t>Raise attainment for all</w:t>
            </w:r>
            <w:r w:rsidRPr="64312784">
              <w:rPr>
                <w:rFonts w:cs="Calibri"/>
              </w:rPr>
              <w:t xml:space="preserve"> PP children in Writing and Maths</w:t>
            </w:r>
            <w:r w:rsidR="003C6B5D">
              <w:rPr>
                <w:rFonts w:cs="Calibri"/>
              </w:rPr>
              <w:t>.</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F2868" w14:textId="3918300A" w:rsidR="00996C54" w:rsidRPr="0040291E" w:rsidRDefault="00000000" w:rsidP="00D031CE">
            <w:pPr>
              <w:pStyle w:val="TableRowCentered"/>
              <w:ind w:left="0"/>
              <w:jc w:val="left"/>
            </w:pPr>
            <w:r>
              <w:t>KS1 and 2 outcomes for disadvantaged pupils, who are not SEND</w:t>
            </w:r>
            <w:r w:rsidR="003C6B5D">
              <w:t xml:space="preserve"> will show </w:t>
            </w:r>
            <w:r w:rsidR="003C6B5D">
              <w:lastRenderedPageBreak/>
              <w:t>improvement and by 2027</w:t>
            </w:r>
            <w:r>
              <w:t xml:space="preserve"> will be broadly in line with national outcomes.</w:t>
            </w:r>
          </w:p>
        </w:tc>
      </w:tr>
      <w:tr w:rsidR="00196AC9" w14:paraId="26C4E6CB" w14:textId="77777777" w:rsidTr="64EFE56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CCB1C" w14:textId="77777777" w:rsidR="00996C54" w:rsidRPr="0040291E" w:rsidRDefault="00000000" w:rsidP="00196AC9">
            <w:pPr>
              <w:pStyle w:val="TableRow"/>
            </w:pPr>
            <w:r w:rsidRPr="0040291E">
              <w:lastRenderedPageBreak/>
              <w:t>Improved emotional wellbeing for identified disadvantaged pupils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8DBCB" w14:textId="77777777" w:rsidR="00996C54" w:rsidRPr="0040291E" w:rsidRDefault="00000000" w:rsidP="00196AC9">
            <w:pPr>
              <w:pStyle w:val="TableRowCentered"/>
              <w:jc w:val="left"/>
              <w:rPr>
                <w:szCs w:val="24"/>
              </w:rPr>
            </w:pPr>
            <w:r w:rsidRPr="0040291E">
              <w:rPr>
                <w:szCs w:val="24"/>
              </w:rPr>
              <w:t>Feed</w:t>
            </w:r>
            <w:r>
              <w:rPr>
                <w:szCs w:val="24"/>
              </w:rPr>
              <w:t xml:space="preserve">back from families and children will </w:t>
            </w:r>
            <w:r w:rsidRPr="0040291E">
              <w:rPr>
                <w:szCs w:val="24"/>
              </w:rPr>
              <w:t xml:space="preserve">show effectiveness of pastoral support and subsidies / provision to meet needs. </w:t>
            </w:r>
          </w:p>
        </w:tc>
      </w:tr>
      <w:tr w:rsidR="00196AC9" w14:paraId="30FAA5D3" w14:textId="77777777" w:rsidTr="64EFE56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6D0BC" w14:textId="77777777" w:rsidR="00996C54" w:rsidRPr="0040291E" w:rsidRDefault="00000000" w:rsidP="00AF76C7">
            <w:pPr>
              <w:pStyle w:val="TableRow"/>
            </w:pPr>
            <w:r w:rsidRPr="0040291E">
              <w:t>Improved take</w:t>
            </w:r>
            <w:r>
              <w:t xml:space="preserve"> up of enrichment opportunities.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2B814" w14:textId="77777777" w:rsidR="00996C54" w:rsidRPr="0040291E" w:rsidRDefault="00000000" w:rsidP="0040291E">
            <w:pPr>
              <w:pStyle w:val="TableRowCentered"/>
              <w:ind w:left="0"/>
              <w:jc w:val="left"/>
              <w:rPr>
                <w:szCs w:val="24"/>
              </w:rPr>
            </w:pPr>
            <w:r w:rsidRPr="0040291E">
              <w:rPr>
                <w:szCs w:val="24"/>
              </w:rPr>
              <w:t xml:space="preserve">The proportion of disadvantaged children accessing enrichment provision increases. </w:t>
            </w:r>
          </w:p>
          <w:p w14:paraId="3F2CB3CD" w14:textId="77777777" w:rsidR="00996C54" w:rsidRPr="0040291E" w:rsidRDefault="00000000" w:rsidP="0040291E">
            <w:pPr>
              <w:pStyle w:val="TableRowCentered"/>
              <w:ind w:left="0"/>
              <w:jc w:val="left"/>
              <w:rPr>
                <w:szCs w:val="24"/>
              </w:rPr>
            </w:pPr>
            <w:r w:rsidRPr="0040291E">
              <w:rPr>
                <w:szCs w:val="24"/>
              </w:rPr>
              <w:t>Pupil voice shows enjoyment of</w:t>
            </w:r>
            <w:r>
              <w:rPr>
                <w:szCs w:val="24"/>
              </w:rPr>
              <w:t xml:space="preserve"> a</w:t>
            </w:r>
            <w:r w:rsidRPr="0040291E">
              <w:rPr>
                <w:szCs w:val="24"/>
              </w:rPr>
              <w:t xml:space="preserve"> breadth of experiences and pupils </w:t>
            </w:r>
            <w:r>
              <w:rPr>
                <w:szCs w:val="24"/>
              </w:rPr>
              <w:t xml:space="preserve">are </w:t>
            </w:r>
            <w:r w:rsidRPr="0040291E">
              <w:rPr>
                <w:szCs w:val="24"/>
              </w:rPr>
              <w:t xml:space="preserve">able to vocalise successes. </w:t>
            </w:r>
          </w:p>
        </w:tc>
      </w:tr>
    </w:tbl>
    <w:p w14:paraId="1AB86E24" w14:textId="77777777" w:rsidR="00996C54" w:rsidRDefault="00996C54">
      <w:pPr>
        <w:pStyle w:val="Heading2"/>
      </w:pPr>
    </w:p>
    <w:p w14:paraId="3066106E" w14:textId="77777777" w:rsidR="00996C54" w:rsidRDefault="00000000">
      <w:pPr>
        <w:suppressAutoHyphens w:val="0"/>
        <w:spacing w:after="0" w:line="240" w:lineRule="auto"/>
        <w:rPr>
          <w:b/>
          <w:color w:val="104F75"/>
          <w:sz w:val="32"/>
          <w:szCs w:val="32"/>
        </w:rPr>
      </w:pPr>
      <w:r>
        <w:br w:type="page"/>
      </w:r>
    </w:p>
    <w:p w14:paraId="56910C06" w14:textId="77777777" w:rsidR="00996C54" w:rsidRDefault="00000000">
      <w:pPr>
        <w:pStyle w:val="Heading2"/>
      </w:pPr>
      <w:r>
        <w:lastRenderedPageBreak/>
        <w:t>Activity in this academic year</w:t>
      </w:r>
    </w:p>
    <w:p w14:paraId="158727A3" w14:textId="77777777" w:rsidR="00996C54" w:rsidRDefault="00000000">
      <w:pPr>
        <w:spacing w:after="480"/>
      </w:pPr>
      <w:r>
        <w:t xml:space="preserve">This details how we intend to spend our pupil premium (and recovery premium funding) </w:t>
      </w:r>
      <w:r>
        <w:rPr>
          <w:b/>
          <w:bCs/>
        </w:rPr>
        <w:t>this academic year</w:t>
      </w:r>
      <w:r>
        <w:t xml:space="preserve"> to address the challenges listed above.</w:t>
      </w:r>
    </w:p>
    <w:p w14:paraId="7D084970" w14:textId="77777777" w:rsidR="00996C54" w:rsidRDefault="00000000">
      <w:pPr>
        <w:pStyle w:val="Heading3"/>
      </w:pPr>
      <w:r>
        <w:t>Teaching (for example, CPD, recruitment and retention)</w:t>
      </w:r>
    </w:p>
    <w:p w14:paraId="41F65ADA" w14:textId="77777777" w:rsidR="00996C54" w:rsidRDefault="00000000" w:rsidP="09ABAC5A">
      <w:pPr>
        <w:rPr>
          <w:i/>
          <w:iCs/>
        </w:rPr>
      </w:pPr>
      <w:r w:rsidRPr="00303754">
        <w:t>Budgeted cost: £76,900</w:t>
      </w:r>
    </w:p>
    <w:tbl>
      <w:tblPr>
        <w:tblW w:w="5000" w:type="pct"/>
        <w:tblCellMar>
          <w:left w:w="10" w:type="dxa"/>
          <w:right w:w="10" w:type="dxa"/>
        </w:tblCellMar>
        <w:tblLook w:val="04A0" w:firstRow="1" w:lastRow="0" w:firstColumn="1" w:lastColumn="0" w:noHBand="0" w:noVBand="1"/>
      </w:tblPr>
      <w:tblGrid>
        <w:gridCol w:w="3252"/>
        <w:gridCol w:w="3861"/>
        <w:gridCol w:w="2373"/>
      </w:tblGrid>
      <w:tr w:rsidR="00E66558" w14:paraId="1CF22CAD" w14:textId="77777777" w:rsidTr="64312784">
        <w:tc>
          <w:tcPr>
            <w:tcW w:w="3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3083F21" w14:textId="77777777" w:rsidR="00996C54" w:rsidRDefault="00000000">
            <w:pPr>
              <w:pStyle w:val="TableHeader"/>
              <w:jc w:val="left"/>
            </w:pPr>
            <w:r>
              <w:t>Activity</w:t>
            </w:r>
          </w:p>
        </w:tc>
        <w:tc>
          <w:tcPr>
            <w:tcW w:w="38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0E6A97FA" w14:textId="77777777" w:rsidR="00996C54" w:rsidRDefault="00000000">
            <w:pPr>
              <w:pStyle w:val="TableHeader"/>
              <w:jc w:val="left"/>
            </w:pPr>
            <w:r>
              <w:t>Evidence that supports this approach</w:t>
            </w:r>
          </w:p>
        </w:tc>
        <w:tc>
          <w:tcPr>
            <w:tcW w:w="2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551422" w14:textId="77777777" w:rsidR="00996C54" w:rsidRDefault="00000000">
            <w:pPr>
              <w:pStyle w:val="TableHeader"/>
              <w:jc w:val="left"/>
            </w:pPr>
            <w:r>
              <w:t>Challenge number(s) addressed</w:t>
            </w:r>
          </w:p>
        </w:tc>
      </w:tr>
      <w:tr w:rsidR="00D735E6" w14:paraId="6A9A937B" w14:textId="77777777" w:rsidTr="64312784">
        <w:trPr>
          <w:trHeight w:val="4508"/>
        </w:trPr>
        <w:tc>
          <w:tcPr>
            <w:tcW w:w="3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8B7E6" w14:textId="77777777" w:rsidR="00996C54" w:rsidRDefault="00996C54" w:rsidP="17B8EB29">
            <w:pPr>
              <w:pStyle w:val="TableRow"/>
              <w:rPr>
                <w:sz w:val="20"/>
                <w:szCs w:val="20"/>
              </w:rPr>
            </w:pPr>
          </w:p>
          <w:p w14:paraId="10A3BE3C" w14:textId="66E212FA" w:rsidR="00996C54" w:rsidRDefault="00F1590D" w:rsidP="00DB2A4D">
            <w:pPr>
              <w:pStyle w:val="TableRow"/>
              <w:numPr>
                <w:ilvl w:val="0"/>
                <w:numId w:val="20"/>
              </w:numPr>
              <w:ind w:left="319" w:hanging="426"/>
              <w:rPr>
                <w:sz w:val="20"/>
                <w:szCs w:val="20"/>
              </w:rPr>
            </w:pPr>
            <w:r>
              <w:rPr>
                <w:sz w:val="20"/>
                <w:szCs w:val="20"/>
              </w:rPr>
              <w:t xml:space="preserve">Engagement with NCETM/ trust </w:t>
            </w:r>
            <w:r w:rsidR="002E797A">
              <w:rPr>
                <w:sz w:val="20"/>
                <w:szCs w:val="20"/>
              </w:rPr>
              <w:t xml:space="preserve">endorsed </w:t>
            </w:r>
            <w:r>
              <w:rPr>
                <w:sz w:val="20"/>
                <w:szCs w:val="20"/>
              </w:rPr>
              <w:t xml:space="preserve">colleagues to revise </w:t>
            </w:r>
            <w:r w:rsidR="00EC4F2E">
              <w:rPr>
                <w:sz w:val="20"/>
                <w:szCs w:val="20"/>
              </w:rPr>
              <w:t xml:space="preserve">lesson </w:t>
            </w:r>
            <w:r>
              <w:rPr>
                <w:sz w:val="20"/>
                <w:szCs w:val="20"/>
              </w:rPr>
              <w:t xml:space="preserve">structure and planning for Maths </w:t>
            </w:r>
          </w:p>
          <w:p w14:paraId="7EA7EF29" w14:textId="5E535C54" w:rsidR="00B6635E" w:rsidRPr="00FD5335" w:rsidRDefault="00000000" w:rsidP="00DB2A4D">
            <w:pPr>
              <w:pStyle w:val="TableRow"/>
              <w:ind w:left="0"/>
              <w:rPr>
                <w:sz w:val="20"/>
                <w:szCs w:val="20"/>
              </w:rPr>
            </w:pPr>
            <w:r w:rsidRPr="67963D5F">
              <w:rPr>
                <w:sz w:val="20"/>
                <w:szCs w:val="20"/>
              </w:rPr>
              <w:t xml:space="preserve"> </w:t>
            </w:r>
          </w:p>
          <w:p w14:paraId="6C077825" w14:textId="1F7810F7" w:rsidR="00F1590D" w:rsidRPr="00EC4F2E" w:rsidRDefault="00000000" w:rsidP="00EC4F2E">
            <w:pPr>
              <w:pStyle w:val="TableRow"/>
              <w:numPr>
                <w:ilvl w:val="0"/>
                <w:numId w:val="16"/>
              </w:numPr>
              <w:ind w:left="314"/>
              <w:rPr>
                <w:sz w:val="20"/>
                <w:szCs w:val="20"/>
              </w:rPr>
            </w:pPr>
            <w:r>
              <w:rPr>
                <w:sz w:val="20"/>
                <w:szCs w:val="20"/>
              </w:rPr>
              <w:t>Targeted CPD to enable quality teaching in every classroom</w:t>
            </w:r>
            <w:r w:rsidR="00EC4F2E">
              <w:rPr>
                <w:sz w:val="20"/>
                <w:szCs w:val="20"/>
              </w:rPr>
              <w:t xml:space="preserve"> and</w:t>
            </w:r>
            <w:r w:rsidRPr="00EC4F2E">
              <w:rPr>
                <w:sz w:val="20"/>
                <w:szCs w:val="20"/>
              </w:rPr>
              <w:t xml:space="preserve"> a well-planned</w:t>
            </w:r>
            <w:r w:rsidR="00CA73EF" w:rsidRPr="00EC4F2E">
              <w:rPr>
                <w:sz w:val="20"/>
                <w:szCs w:val="20"/>
              </w:rPr>
              <w:t>, responsive</w:t>
            </w:r>
            <w:r w:rsidRPr="00EC4F2E">
              <w:rPr>
                <w:sz w:val="20"/>
                <w:szCs w:val="20"/>
              </w:rPr>
              <w:t xml:space="preserve"> curriculum</w:t>
            </w:r>
            <w:r w:rsidR="00F1590D" w:rsidRPr="00EC4F2E">
              <w:rPr>
                <w:sz w:val="20"/>
                <w:szCs w:val="20"/>
              </w:rPr>
              <w:t xml:space="preserve"> supportive of</w:t>
            </w:r>
            <w:r w:rsidRPr="00EC4F2E">
              <w:rPr>
                <w:sz w:val="20"/>
                <w:szCs w:val="20"/>
              </w:rPr>
              <w:t xml:space="preserve"> key skills</w:t>
            </w:r>
            <w:r w:rsidR="00CA73EF" w:rsidRPr="00EC4F2E">
              <w:rPr>
                <w:sz w:val="20"/>
                <w:szCs w:val="20"/>
              </w:rPr>
              <w:t xml:space="preserve"> </w:t>
            </w:r>
          </w:p>
          <w:p w14:paraId="708C59FF" w14:textId="77777777" w:rsidR="00EC4F2E" w:rsidRDefault="00EC4F2E" w:rsidP="00EC4F2E">
            <w:pPr>
              <w:pStyle w:val="TableRow"/>
              <w:numPr>
                <w:ilvl w:val="0"/>
                <w:numId w:val="16"/>
              </w:numPr>
              <w:ind w:left="314"/>
              <w:rPr>
                <w:sz w:val="20"/>
                <w:szCs w:val="20"/>
              </w:rPr>
            </w:pPr>
            <w:r>
              <w:rPr>
                <w:sz w:val="20"/>
                <w:szCs w:val="20"/>
              </w:rPr>
              <w:t xml:space="preserve">KIRF and calculation policy reviewed  </w:t>
            </w:r>
          </w:p>
          <w:p w14:paraId="4C99DCF4" w14:textId="43817FA6" w:rsidR="00EC4F2E" w:rsidRPr="002E797A" w:rsidRDefault="00EC4F2E" w:rsidP="002E797A">
            <w:pPr>
              <w:pStyle w:val="TableRow"/>
              <w:numPr>
                <w:ilvl w:val="0"/>
                <w:numId w:val="16"/>
              </w:numPr>
              <w:ind w:left="314"/>
              <w:rPr>
                <w:sz w:val="20"/>
                <w:szCs w:val="20"/>
              </w:rPr>
            </w:pPr>
            <w:r>
              <w:rPr>
                <w:sz w:val="20"/>
                <w:szCs w:val="20"/>
              </w:rPr>
              <w:t>CPD focus in adaptations to meet needs based on AFL</w:t>
            </w:r>
          </w:p>
          <w:p w14:paraId="359F8696" w14:textId="7EF7F442" w:rsidR="002E797A" w:rsidRPr="002E797A" w:rsidRDefault="00F1590D" w:rsidP="002E797A">
            <w:pPr>
              <w:pStyle w:val="TableRow"/>
              <w:numPr>
                <w:ilvl w:val="0"/>
                <w:numId w:val="16"/>
              </w:numPr>
              <w:ind w:left="314"/>
              <w:rPr>
                <w:sz w:val="20"/>
                <w:szCs w:val="20"/>
              </w:rPr>
            </w:pPr>
            <w:r>
              <w:rPr>
                <w:sz w:val="20"/>
                <w:szCs w:val="20"/>
              </w:rPr>
              <w:t xml:space="preserve">Assessment opportunities to </w:t>
            </w:r>
            <w:r w:rsidRPr="17B8EB29">
              <w:rPr>
                <w:sz w:val="20"/>
                <w:szCs w:val="20"/>
              </w:rPr>
              <w:t xml:space="preserve">deepen understanding of age-related expectations and secure </w:t>
            </w:r>
            <w:r>
              <w:rPr>
                <w:sz w:val="20"/>
                <w:szCs w:val="20"/>
              </w:rPr>
              <w:t>rigorous understanding of pupil needs (including standardised testin</w:t>
            </w:r>
            <w:r w:rsidR="00B76D4D">
              <w:rPr>
                <w:sz w:val="20"/>
                <w:szCs w:val="20"/>
              </w:rPr>
              <w:t>g</w:t>
            </w:r>
            <w:r>
              <w:rPr>
                <w:sz w:val="20"/>
                <w:szCs w:val="20"/>
              </w:rPr>
              <w:t>)</w:t>
            </w:r>
            <w:r w:rsidR="002E797A">
              <w:rPr>
                <w:sz w:val="20"/>
                <w:szCs w:val="20"/>
              </w:rPr>
              <w:t xml:space="preserve"> </w:t>
            </w:r>
          </w:p>
          <w:p w14:paraId="38635219" w14:textId="09628BEE" w:rsidR="002E797A" w:rsidRPr="002E797A" w:rsidRDefault="002E797A" w:rsidP="002E797A">
            <w:pPr>
              <w:pStyle w:val="TableRow"/>
              <w:ind w:left="0"/>
              <w:rPr>
                <w:sz w:val="20"/>
                <w:szCs w:val="20"/>
              </w:rPr>
            </w:pPr>
          </w:p>
        </w:tc>
        <w:tc>
          <w:tcPr>
            <w:tcW w:w="38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34C4D" w14:textId="77777777" w:rsidR="00B6635E" w:rsidRDefault="00B6635E" w:rsidP="00DB2A4D">
            <w:pPr>
              <w:pStyle w:val="TableRowCentered"/>
              <w:ind w:left="0"/>
              <w:jc w:val="left"/>
              <w:rPr>
                <w:sz w:val="20"/>
              </w:rPr>
            </w:pPr>
          </w:p>
          <w:p w14:paraId="4F862078" w14:textId="5343D120" w:rsidR="00996C54" w:rsidRDefault="00000000" w:rsidP="17B8EB29">
            <w:pPr>
              <w:pStyle w:val="TableRowCentered"/>
              <w:ind w:left="0"/>
              <w:jc w:val="left"/>
              <w:rPr>
                <w:sz w:val="20"/>
              </w:rPr>
            </w:pPr>
            <w:r w:rsidRPr="17B8EB29">
              <w:rPr>
                <w:sz w:val="20"/>
              </w:rPr>
              <w:t xml:space="preserve">EEF </w:t>
            </w:r>
            <w:r w:rsidR="00B6635E">
              <w:rPr>
                <w:sz w:val="20"/>
              </w:rPr>
              <w:t xml:space="preserve">research indicates that retrieval helps bring knowledge back in to working memory </w:t>
            </w:r>
          </w:p>
          <w:p w14:paraId="72D90B23" w14:textId="77777777" w:rsidR="00F1590D" w:rsidRDefault="00F1590D" w:rsidP="17B8EB29">
            <w:pPr>
              <w:pStyle w:val="TableRowCentered"/>
              <w:ind w:left="0"/>
              <w:jc w:val="left"/>
              <w:rPr>
                <w:sz w:val="20"/>
              </w:rPr>
            </w:pPr>
          </w:p>
          <w:p w14:paraId="48C4DBB5" w14:textId="77777777" w:rsidR="002E797A" w:rsidRDefault="002E797A" w:rsidP="17B8EB29">
            <w:pPr>
              <w:pStyle w:val="TableRowCentered"/>
              <w:ind w:left="0"/>
              <w:jc w:val="left"/>
              <w:rPr>
                <w:sz w:val="20"/>
              </w:rPr>
            </w:pPr>
          </w:p>
          <w:p w14:paraId="416610CA" w14:textId="665F5B16" w:rsidR="00EC4F2E" w:rsidRDefault="00000000" w:rsidP="00EC4F2E">
            <w:pPr>
              <w:suppressAutoHyphens w:val="0"/>
              <w:autoSpaceDE w:val="0"/>
              <w:adjustRightInd w:val="0"/>
              <w:spacing w:after="0" w:line="240" w:lineRule="auto"/>
              <w:rPr>
                <w:rFonts w:cs="Arial"/>
                <w:color w:val="auto"/>
                <w:sz w:val="20"/>
                <w:szCs w:val="20"/>
              </w:rPr>
            </w:pPr>
            <w:r w:rsidRPr="306CC4B9">
              <w:rPr>
                <w:rFonts w:cs="Arial"/>
                <w:color w:val="auto"/>
                <w:sz w:val="20"/>
                <w:szCs w:val="20"/>
                <w:u w:val="single"/>
              </w:rPr>
              <w:t>Mastering number</w:t>
            </w:r>
            <w:r w:rsidRPr="306CC4B9">
              <w:rPr>
                <w:rFonts w:cs="Arial"/>
                <w:color w:val="auto"/>
                <w:sz w:val="20"/>
                <w:szCs w:val="20"/>
              </w:rPr>
              <w:t xml:space="preserve">- Reception to Year </w:t>
            </w:r>
            <w:r>
              <w:rPr>
                <w:rFonts w:cs="Arial"/>
                <w:color w:val="auto"/>
                <w:sz w:val="20"/>
                <w:szCs w:val="20"/>
              </w:rPr>
              <w:t>3</w:t>
            </w:r>
            <w:r w:rsidRPr="306CC4B9">
              <w:rPr>
                <w:rFonts w:cs="Arial"/>
                <w:color w:val="auto"/>
                <w:sz w:val="20"/>
                <w:szCs w:val="20"/>
              </w:rPr>
              <w:t xml:space="preserve"> to develop oral reasoning skills and basic number knowledge.</w:t>
            </w:r>
          </w:p>
          <w:p w14:paraId="0482A16A" w14:textId="061C0CF0" w:rsidR="00F1590D" w:rsidRDefault="00000000" w:rsidP="00DB2A4D">
            <w:pPr>
              <w:suppressAutoHyphens w:val="0"/>
              <w:autoSpaceDE w:val="0"/>
              <w:adjustRightInd w:val="0"/>
              <w:spacing w:after="0" w:line="240" w:lineRule="auto"/>
              <w:rPr>
                <w:rFonts w:cs="Arial"/>
                <w:color w:val="auto"/>
                <w:sz w:val="20"/>
                <w:szCs w:val="20"/>
              </w:rPr>
            </w:pPr>
            <w:r w:rsidRPr="306CC4B9">
              <w:rPr>
                <w:rFonts w:cs="Arial"/>
                <w:color w:val="auto"/>
                <w:sz w:val="20"/>
                <w:szCs w:val="20"/>
              </w:rPr>
              <w:t xml:space="preserve">Evidence that supports this approach-NCETM studies have shown positive impact for disadvantaged pupils. </w:t>
            </w:r>
          </w:p>
          <w:p w14:paraId="057C1ED4" w14:textId="77777777" w:rsidR="002E797A" w:rsidRDefault="002E797A" w:rsidP="00DB2A4D">
            <w:pPr>
              <w:suppressAutoHyphens w:val="0"/>
              <w:autoSpaceDE w:val="0"/>
              <w:adjustRightInd w:val="0"/>
              <w:spacing w:after="0" w:line="240" w:lineRule="auto"/>
              <w:rPr>
                <w:rFonts w:cs="Arial"/>
                <w:color w:val="auto"/>
                <w:sz w:val="20"/>
                <w:szCs w:val="20"/>
              </w:rPr>
            </w:pPr>
          </w:p>
          <w:p w14:paraId="68C4A185" w14:textId="77777777" w:rsidR="002E797A" w:rsidRDefault="002E797A" w:rsidP="00DB2A4D">
            <w:pPr>
              <w:suppressAutoHyphens w:val="0"/>
              <w:autoSpaceDE w:val="0"/>
              <w:adjustRightInd w:val="0"/>
              <w:spacing w:after="0" w:line="240" w:lineRule="auto"/>
              <w:rPr>
                <w:rFonts w:cs="Arial"/>
                <w:color w:val="auto"/>
                <w:sz w:val="20"/>
                <w:szCs w:val="20"/>
              </w:rPr>
            </w:pPr>
          </w:p>
          <w:p w14:paraId="2836CD59" w14:textId="77C41F18" w:rsidR="00EC4F2E" w:rsidRDefault="00000000" w:rsidP="00DB2A4D">
            <w:pPr>
              <w:suppressAutoHyphens w:val="0"/>
              <w:autoSpaceDE w:val="0"/>
              <w:adjustRightInd w:val="0"/>
              <w:spacing w:after="0" w:line="240" w:lineRule="auto"/>
            </w:pPr>
            <w:r w:rsidRPr="306CC4B9">
              <w:rPr>
                <w:rFonts w:cs="Arial"/>
                <w:color w:val="auto"/>
                <w:sz w:val="20"/>
                <w:szCs w:val="20"/>
              </w:rPr>
              <w:t>Internally, assessments show some pupils in KS2 would benefit from fluency with basic number skills including subitising and to build oracy in maths.</w:t>
            </w:r>
            <w:r>
              <w:br/>
            </w:r>
          </w:p>
          <w:p w14:paraId="679886E4" w14:textId="7CD3D920" w:rsidR="00996C54" w:rsidRPr="00A921A2" w:rsidRDefault="00000000" w:rsidP="00DB2A4D">
            <w:pPr>
              <w:suppressAutoHyphens w:val="0"/>
              <w:autoSpaceDE w:val="0"/>
              <w:adjustRightInd w:val="0"/>
              <w:spacing w:after="0" w:line="240" w:lineRule="auto"/>
              <w:rPr>
                <w:rFonts w:cs="Arial"/>
                <w:color w:val="F79646"/>
                <w:sz w:val="20"/>
                <w:szCs w:val="20"/>
              </w:rPr>
            </w:pPr>
            <w:r>
              <w:br/>
            </w:r>
            <w:r>
              <w:br/>
            </w:r>
          </w:p>
          <w:p w14:paraId="617BB6DD" w14:textId="77777777" w:rsidR="00996C54" w:rsidRPr="00F5193E" w:rsidRDefault="00996C54" w:rsidP="17B8EB29">
            <w:pPr>
              <w:suppressAutoHyphens w:val="0"/>
              <w:autoSpaceDE w:val="0"/>
              <w:adjustRightInd w:val="0"/>
              <w:spacing w:after="0" w:line="240" w:lineRule="auto"/>
              <w:rPr>
                <w:sz w:val="20"/>
                <w:szCs w:val="20"/>
              </w:rPr>
            </w:pPr>
          </w:p>
        </w:tc>
        <w:tc>
          <w:tcPr>
            <w:tcW w:w="2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AA92B" w14:textId="77777777" w:rsidR="00F1590D" w:rsidRDefault="00F1590D" w:rsidP="17B8EB29">
            <w:pPr>
              <w:pStyle w:val="TableRowCentered"/>
              <w:jc w:val="left"/>
              <w:rPr>
                <w:sz w:val="20"/>
              </w:rPr>
            </w:pPr>
          </w:p>
          <w:p w14:paraId="6223148D" w14:textId="216C663B" w:rsidR="00996C54" w:rsidRPr="00F5193E" w:rsidRDefault="00000000" w:rsidP="17B8EB29">
            <w:pPr>
              <w:pStyle w:val="TableRowCentered"/>
              <w:jc w:val="left"/>
              <w:rPr>
                <w:sz w:val="20"/>
              </w:rPr>
            </w:pPr>
            <w:r w:rsidRPr="17B8EB29">
              <w:rPr>
                <w:sz w:val="20"/>
              </w:rPr>
              <w:t>5</w:t>
            </w:r>
          </w:p>
          <w:p w14:paraId="76D83E02" w14:textId="77777777" w:rsidR="00996C54" w:rsidRPr="00F5193E" w:rsidRDefault="00996C54" w:rsidP="17B8EB29">
            <w:pPr>
              <w:pStyle w:val="TableRowCentered"/>
              <w:jc w:val="left"/>
              <w:rPr>
                <w:sz w:val="20"/>
              </w:rPr>
            </w:pPr>
          </w:p>
          <w:p w14:paraId="60CFDC4B" w14:textId="77777777" w:rsidR="00996C54" w:rsidRPr="00F5193E" w:rsidRDefault="00996C54" w:rsidP="17B8EB29">
            <w:pPr>
              <w:pStyle w:val="TableRowCentered"/>
              <w:jc w:val="left"/>
              <w:rPr>
                <w:sz w:val="20"/>
              </w:rPr>
            </w:pPr>
          </w:p>
          <w:p w14:paraId="214315F8" w14:textId="77777777" w:rsidR="00996C54" w:rsidRPr="00F5193E" w:rsidRDefault="00996C54" w:rsidP="17B8EB29">
            <w:pPr>
              <w:pStyle w:val="TableRowCentered"/>
              <w:jc w:val="left"/>
              <w:rPr>
                <w:sz w:val="20"/>
              </w:rPr>
            </w:pPr>
          </w:p>
          <w:p w14:paraId="25AE9413" w14:textId="77777777" w:rsidR="00996C54" w:rsidRPr="00F5193E" w:rsidRDefault="00996C54" w:rsidP="17B8EB29">
            <w:pPr>
              <w:pStyle w:val="TableRowCentered"/>
              <w:jc w:val="left"/>
              <w:rPr>
                <w:sz w:val="20"/>
              </w:rPr>
            </w:pPr>
          </w:p>
          <w:p w14:paraId="35737398" w14:textId="77777777" w:rsidR="00996C54" w:rsidRPr="00F5193E" w:rsidRDefault="00996C54" w:rsidP="17B8EB29">
            <w:pPr>
              <w:pStyle w:val="TableRowCentered"/>
              <w:jc w:val="left"/>
              <w:rPr>
                <w:sz w:val="20"/>
              </w:rPr>
            </w:pPr>
          </w:p>
          <w:p w14:paraId="29266E21" w14:textId="77777777" w:rsidR="00996C54" w:rsidRPr="00F5193E" w:rsidRDefault="00996C54" w:rsidP="17B8EB29">
            <w:pPr>
              <w:pStyle w:val="TableRowCentered"/>
              <w:jc w:val="left"/>
              <w:rPr>
                <w:sz w:val="20"/>
              </w:rPr>
            </w:pPr>
          </w:p>
          <w:p w14:paraId="425BAEA5" w14:textId="77777777" w:rsidR="00996C54" w:rsidRPr="00F5193E" w:rsidRDefault="00996C54" w:rsidP="17B8EB29">
            <w:pPr>
              <w:pStyle w:val="TableRowCentered"/>
              <w:jc w:val="left"/>
              <w:rPr>
                <w:sz w:val="20"/>
              </w:rPr>
            </w:pPr>
          </w:p>
          <w:p w14:paraId="5247D4CB" w14:textId="77777777" w:rsidR="00996C54" w:rsidRPr="00F5193E" w:rsidRDefault="00996C54" w:rsidP="17B8EB29">
            <w:pPr>
              <w:pStyle w:val="TableRowCentered"/>
              <w:jc w:val="left"/>
              <w:rPr>
                <w:sz w:val="20"/>
              </w:rPr>
            </w:pPr>
          </w:p>
          <w:p w14:paraId="28BB5C52" w14:textId="77777777" w:rsidR="00996C54" w:rsidRPr="00F5193E" w:rsidRDefault="00996C54" w:rsidP="17B8EB29">
            <w:pPr>
              <w:pStyle w:val="TableRowCentered"/>
              <w:jc w:val="left"/>
              <w:rPr>
                <w:sz w:val="20"/>
              </w:rPr>
            </w:pPr>
          </w:p>
          <w:p w14:paraId="36D170D5" w14:textId="77777777" w:rsidR="00996C54" w:rsidRPr="00F5193E" w:rsidRDefault="00996C54" w:rsidP="17B8EB29">
            <w:pPr>
              <w:pStyle w:val="TableRowCentered"/>
              <w:jc w:val="left"/>
              <w:rPr>
                <w:sz w:val="20"/>
              </w:rPr>
            </w:pPr>
          </w:p>
          <w:p w14:paraId="1BE27A51" w14:textId="77777777" w:rsidR="00996C54" w:rsidRPr="00F5193E" w:rsidRDefault="00996C54" w:rsidP="17B8EB29">
            <w:pPr>
              <w:pStyle w:val="TableRowCentered"/>
              <w:jc w:val="left"/>
              <w:rPr>
                <w:sz w:val="20"/>
              </w:rPr>
            </w:pPr>
          </w:p>
          <w:p w14:paraId="5A7B2E38" w14:textId="77777777" w:rsidR="00996C54" w:rsidRPr="00F5193E" w:rsidRDefault="00996C54" w:rsidP="17B8EB29">
            <w:pPr>
              <w:pStyle w:val="TableRowCentered"/>
              <w:ind w:left="0"/>
              <w:jc w:val="left"/>
              <w:rPr>
                <w:sz w:val="20"/>
              </w:rPr>
            </w:pPr>
          </w:p>
          <w:p w14:paraId="42A90E68" w14:textId="77777777" w:rsidR="00996C54" w:rsidRPr="00F5193E" w:rsidRDefault="00996C54" w:rsidP="17B8EB29">
            <w:pPr>
              <w:suppressAutoHyphens w:val="0"/>
              <w:autoSpaceDE w:val="0"/>
              <w:adjustRightInd w:val="0"/>
              <w:spacing w:after="0" w:line="240" w:lineRule="auto"/>
              <w:rPr>
                <w:sz w:val="20"/>
                <w:szCs w:val="20"/>
              </w:rPr>
            </w:pPr>
          </w:p>
        </w:tc>
      </w:tr>
      <w:tr w:rsidR="00D07057" w14:paraId="165D5831" w14:textId="77777777" w:rsidTr="64312784">
        <w:tc>
          <w:tcPr>
            <w:tcW w:w="3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8BE82" w14:textId="77777777" w:rsidR="00996C54" w:rsidRDefault="00000000" w:rsidP="00FA62EB">
            <w:pPr>
              <w:pStyle w:val="TableRow"/>
              <w:numPr>
                <w:ilvl w:val="0"/>
                <w:numId w:val="20"/>
              </w:numPr>
              <w:ind w:left="318" w:hanging="318"/>
              <w:rPr>
                <w:sz w:val="20"/>
                <w:szCs w:val="20"/>
              </w:rPr>
            </w:pPr>
            <w:r w:rsidRPr="64312784">
              <w:rPr>
                <w:sz w:val="20"/>
                <w:szCs w:val="20"/>
              </w:rPr>
              <w:t xml:space="preserve">CPD for </w:t>
            </w:r>
            <w:r>
              <w:rPr>
                <w:sz w:val="20"/>
                <w:szCs w:val="20"/>
              </w:rPr>
              <w:t>staff new to RWI in EYFS and KS1</w:t>
            </w:r>
          </w:p>
          <w:p w14:paraId="1B515F7D" w14:textId="77777777" w:rsidR="00996C54" w:rsidRPr="00F5193E" w:rsidRDefault="00000000" w:rsidP="00FA62EB">
            <w:pPr>
              <w:pStyle w:val="TableRow"/>
              <w:numPr>
                <w:ilvl w:val="0"/>
                <w:numId w:val="20"/>
              </w:numPr>
              <w:ind w:left="318" w:hanging="318"/>
              <w:rPr>
                <w:sz w:val="20"/>
                <w:szCs w:val="20"/>
              </w:rPr>
            </w:pPr>
            <w:r>
              <w:rPr>
                <w:sz w:val="20"/>
                <w:szCs w:val="20"/>
              </w:rPr>
              <w:t>Individual coaching and mentoring for all staff delivering phonics from the RWI lead in school</w:t>
            </w:r>
          </w:p>
          <w:p w14:paraId="1BC90538" w14:textId="77777777" w:rsidR="00996C54" w:rsidRPr="00F5193E" w:rsidRDefault="00996C54" w:rsidP="17B8EB29">
            <w:pPr>
              <w:pStyle w:val="TableRow"/>
              <w:rPr>
                <w:sz w:val="20"/>
                <w:szCs w:val="20"/>
              </w:rPr>
            </w:pPr>
          </w:p>
        </w:tc>
        <w:tc>
          <w:tcPr>
            <w:tcW w:w="38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A01C6" w14:textId="77777777" w:rsidR="00996C54" w:rsidRDefault="00000000" w:rsidP="17B8EB29">
            <w:pPr>
              <w:pStyle w:val="TableRowCentered"/>
              <w:jc w:val="left"/>
              <w:rPr>
                <w:sz w:val="20"/>
              </w:rPr>
            </w:pPr>
            <w:r w:rsidRPr="17B8EB29">
              <w:rPr>
                <w:sz w:val="20"/>
              </w:rPr>
              <w:t>The EEF and reading framework considers phonics to be one of the most secure evidence based areas of pedagogy, recommending all schools use a systematic approach to teaching it (The reading framework 2023).</w:t>
            </w:r>
          </w:p>
          <w:p w14:paraId="0B82C6E6" w14:textId="77777777" w:rsidR="00996C54" w:rsidRDefault="00000000" w:rsidP="17B8EB29">
            <w:pPr>
              <w:pStyle w:val="TableRowCentered"/>
              <w:ind w:left="0"/>
              <w:jc w:val="left"/>
              <w:rPr>
                <w:sz w:val="20"/>
              </w:rPr>
            </w:pPr>
            <w:hyperlink r:id="rId11">
              <w:r w:rsidRPr="17B8EB29">
                <w:rPr>
                  <w:color w:val="0070C0"/>
                  <w:sz w:val="20"/>
                  <w:u w:val="single"/>
                </w:rPr>
                <w:t>Phonics | Toolkit Strand | Education Endowment Foundation | EEF</w:t>
              </w:r>
            </w:hyperlink>
          </w:p>
          <w:p w14:paraId="33152159" w14:textId="77777777" w:rsidR="00996C54" w:rsidRPr="00F5193E" w:rsidRDefault="00000000" w:rsidP="306CC4B9">
            <w:pPr>
              <w:pStyle w:val="TableRowCentered"/>
              <w:ind w:left="0"/>
              <w:jc w:val="left"/>
              <w:rPr>
                <w:sz w:val="20"/>
              </w:rPr>
            </w:pPr>
            <w:r w:rsidRPr="306CC4B9">
              <w:rPr>
                <w:sz w:val="20"/>
              </w:rPr>
              <w:t>Leaders note that RWI assessment tools have supported teachers to pitch to pupils needs appropriately.</w:t>
            </w:r>
          </w:p>
          <w:p w14:paraId="4CAD2B39" w14:textId="1CC6AC72" w:rsidR="00996C54" w:rsidRDefault="00000000" w:rsidP="306CC4B9">
            <w:pPr>
              <w:pStyle w:val="TableRowCentered"/>
              <w:ind w:left="0"/>
              <w:jc w:val="left"/>
              <w:rPr>
                <w:sz w:val="20"/>
              </w:rPr>
            </w:pPr>
            <w:r w:rsidRPr="306CC4B9">
              <w:rPr>
                <w:sz w:val="20"/>
              </w:rPr>
              <w:t>Assessment shows that</w:t>
            </w:r>
            <w:r>
              <w:rPr>
                <w:sz w:val="20"/>
              </w:rPr>
              <w:t xml:space="preserve"> </w:t>
            </w:r>
            <w:r w:rsidR="002E797A">
              <w:rPr>
                <w:sz w:val="20"/>
              </w:rPr>
              <w:t>the current</w:t>
            </w:r>
            <w:r>
              <w:rPr>
                <w:sz w:val="20"/>
              </w:rPr>
              <w:t xml:space="preserve"> reception cohort have weaker phonic knowledge </w:t>
            </w:r>
            <w:r w:rsidR="002E797A">
              <w:rPr>
                <w:sz w:val="20"/>
              </w:rPr>
              <w:t>than peers</w:t>
            </w:r>
            <w:r>
              <w:rPr>
                <w:sz w:val="20"/>
              </w:rPr>
              <w:t>.</w:t>
            </w:r>
          </w:p>
          <w:p w14:paraId="2A600605" w14:textId="77777777" w:rsidR="00996C54" w:rsidRPr="00F5193E" w:rsidRDefault="00000000" w:rsidP="306CC4B9">
            <w:pPr>
              <w:pStyle w:val="TableRowCentered"/>
              <w:ind w:left="0"/>
              <w:jc w:val="left"/>
              <w:rPr>
                <w:sz w:val="20"/>
              </w:rPr>
            </w:pPr>
            <w:r w:rsidRPr="306CC4B9">
              <w:rPr>
                <w:sz w:val="20"/>
              </w:rPr>
              <w:t>KS1 pupils need further support to apply phonics knowledge with fluency</w:t>
            </w:r>
          </w:p>
        </w:tc>
        <w:tc>
          <w:tcPr>
            <w:tcW w:w="2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3BF44" w14:textId="77777777" w:rsidR="00996C54" w:rsidRPr="00F5193E" w:rsidRDefault="00000000" w:rsidP="17B8EB29">
            <w:pPr>
              <w:pStyle w:val="TableRowCentered"/>
              <w:jc w:val="left"/>
              <w:rPr>
                <w:sz w:val="20"/>
              </w:rPr>
            </w:pPr>
            <w:r w:rsidRPr="17B8EB29">
              <w:rPr>
                <w:sz w:val="20"/>
              </w:rPr>
              <w:t>3</w:t>
            </w:r>
          </w:p>
        </w:tc>
      </w:tr>
      <w:tr w:rsidR="00D07057" w14:paraId="6B10BECC" w14:textId="77777777" w:rsidTr="64312784">
        <w:tc>
          <w:tcPr>
            <w:tcW w:w="3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D0407" w14:textId="1BFEE96D" w:rsidR="00996C54" w:rsidRPr="00F5193E" w:rsidRDefault="00000000" w:rsidP="17B8EB29">
            <w:pPr>
              <w:pStyle w:val="TableRow"/>
              <w:rPr>
                <w:sz w:val="20"/>
                <w:szCs w:val="20"/>
              </w:rPr>
            </w:pPr>
            <w:r w:rsidRPr="17B8EB29">
              <w:rPr>
                <w:sz w:val="20"/>
                <w:szCs w:val="20"/>
              </w:rPr>
              <w:t>Individual coaching and mentoring for teachers</w:t>
            </w:r>
            <w:r w:rsidR="002E797A">
              <w:rPr>
                <w:sz w:val="20"/>
                <w:szCs w:val="20"/>
              </w:rPr>
              <w:t xml:space="preserve"> (with a </w:t>
            </w:r>
            <w:r w:rsidR="002E797A">
              <w:rPr>
                <w:sz w:val="20"/>
                <w:szCs w:val="20"/>
              </w:rPr>
              <w:lastRenderedPageBreak/>
              <w:t>focus on ECTs)</w:t>
            </w:r>
            <w:r>
              <w:rPr>
                <w:sz w:val="20"/>
                <w:szCs w:val="20"/>
              </w:rPr>
              <w:t xml:space="preserve"> </w:t>
            </w:r>
            <w:r w:rsidRPr="17B8EB29">
              <w:rPr>
                <w:sz w:val="20"/>
                <w:szCs w:val="20"/>
              </w:rPr>
              <w:t>provided by experienced teachers / AHTs to improve teaching and learning outcomes including for pupil premium/SEND/EAL/higher ability learners.</w:t>
            </w:r>
          </w:p>
        </w:tc>
        <w:tc>
          <w:tcPr>
            <w:tcW w:w="38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04B2D" w14:textId="77777777" w:rsidR="00996C54" w:rsidRPr="00F5193E" w:rsidRDefault="00000000" w:rsidP="17B8EB29">
            <w:pPr>
              <w:pStyle w:val="TableRowCentered"/>
              <w:jc w:val="left"/>
              <w:rPr>
                <w:sz w:val="20"/>
              </w:rPr>
            </w:pPr>
            <w:r w:rsidRPr="17B8EB29">
              <w:rPr>
                <w:sz w:val="20"/>
              </w:rPr>
              <w:lastRenderedPageBreak/>
              <w:t xml:space="preserve">The EEF states that good teaching is the most important lever schools have </w:t>
            </w:r>
            <w:r w:rsidRPr="17B8EB29">
              <w:rPr>
                <w:sz w:val="20"/>
              </w:rPr>
              <w:lastRenderedPageBreak/>
              <w:t>to improve outcomes for disadvantaged pupils.</w:t>
            </w:r>
          </w:p>
          <w:p w14:paraId="6530AD86" w14:textId="77777777" w:rsidR="00996C54" w:rsidRDefault="00000000" w:rsidP="17B8EB29">
            <w:pPr>
              <w:suppressAutoHyphens w:val="0"/>
              <w:autoSpaceDE w:val="0"/>
              <w:adjustRightInd w:val="0"/>
              <w:spacing w:after="0" w:line="240" w:lineRule="auto"/>
              <w:rPr>
                <w:rFonts w:cs="Arial"/>
                <w:sz w:val="20"/>
                <w:szCs w:val="20"/>
              </w:rPr>
            </w:pPr>
            <w:r w:rsidRPr="17B8EB29">
              <w:rPr>
                <w:rFonts w:cs="Arial"/>
                <w:sz w:val="20"/>
                <w:szCs w:val="20"/>
              </w:rPr>
              <w:t>Class observations have indicated that lessons which are appropriately challenging and engaging result in accelerated progress for learners.</w:t>
            </w:r>
          </w:p>
          <w:p w14:paraId="177DE604" w14:textId="77777777" w:rsidR="00996C54" w:rsidRPr="00F5193E" w:rsidRDefault="00996C54" w:rsidP="00686626">
            <w:pPr>
              <w:suppressAutoHyphens w:val="0"/>
              <w:autoSpaceDE w:val="0"/>
              <w:adjustRightInd w:val="0"/>
              <w:spacing w:after="0" w:line="240" w:lineRule="auto"/>
              <w:rPr>
                <w:sz w:val="20"/>
                <w:szCs w:val="20"/>
              </w:rPr>
            </w:pPr>
          </w:p>
        </w:tc>
        <w:tc>
          <w:tcPr>
            <w:tcW w:w="2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DF65A" w14:textId="77777777" w:rsidR="00996C54" w:rsidRPr="00F5193E" w:rsidRDefault="00000000" w:rsidP="17B8EB29">
            <w:pPr>
              <w:pStyle w:val="TableRowCentered"/>
              <w:jc w:val="left"/>
              <w:rPr>
                <w:sz w:val="20"/>
              </w:rPr>
            </w:pPr>
            <w:r w:rsidRPr="17B8EB29">
              <w:rPr>
                <w:sz w:val="20"/>
              </w:rPr>
              <w:lastRenderedPageBreak/>
              <w:t>4, 5, 6 &amp; 7</w:t>
            </w:r>
          </w:p>
        </w:tc>
      </w:tr>
      <w:tr w:rsidR="0013229B" w14:paraId="22516EC1" w14:textId="77777777" w:rsidTr="64312784">
        <w:tc>
          <w:tcPr>
            <w:tcW w:w="3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48BB8" w14:textId="77777777" w:rsidR="00996C54" w:rsidRDefault="00000000" w:rsidP="17B8EB29">
            <w:pPr>
              <w:pStyle w:val="TableRow"/>
              <w:ind w:left="0"/>
              <w:rPr>
                <w:sz w:val="20"/>
                <w:szCs w:val="20"/>
              </w:rPr>
            </w:pPr>
            <w:r w:rsidRPr="306CC4B9">
              <w:rPr>
                <w:sz w:val="20"/>
                <w:szCs w:val="20"/>
              </w:rPr>
              <w:t xml:space="preserve">Ensure subject leaders have the skills to lead through coaching. </w:t>
            </w:r>
          </w:p>
          <w:p w14:paraId="1E211C8A" w14:textId="77777777" w:rsidR="00996C54" w:rsidRDefault="00996C54" w:rsidP="17B8EB29">
            <w:pPr>
              <w:pStyle w:val="TableRow"/>
              <w:ind w:left="0"/>
              <w:rPr>
                <w:sz w:val="20"/>
                <w:szCs w:val="20"/>
              </w:rPr>
            </w:pPr>
          </w:p>
          <w:p w14:paraId="775095FF" w14:textId="77777777" w:rsidR="00996C54" w:rsidRDefault="00996C54" w:rsidP="17B8EB29">
            <w:pPr>
              <w:pStyle w:val="TableRow"/>
              <w:ind w:left="0"/>
              <w:rPr>
                <w:sz w:val="20"/>
                <w:szCs w:val="20"/>
              </w:rPr>
            </w:pPr>
          </w:p>
          <w:p w14:paraId="69975CDB" w14:textId="77777777" w:rsidR="00996C54" w:rsidRDefault="00000000" w:rsidP="17B8EB29">
            <w:pPr>
              <w:pStyle w:val="TableRow"/>
              <w:ind w:left="0"/>
              <w:rPr>
                <w:sz w:val="20"/>
                <w:szCs w:val="20"/>
              </w:rPr>
            </w:pPr>
            <w:r>
              <w:rPr>
                <w:sz w:val="20"/>
                <w:szCs w:val="20"/>
              </w:rPr>
              <w:t>Use of curriculum teams</w:t>
            </w:r>
            <w:r w:rsidRPr="306CC4B9">
              <w:rPr>
                <w:sz w:val="20"/>
                <w:szCs w:val="20"/>
              </w:rPr>
              <w:t xml:space="preserve"> to support curriculum implementation so that delivery is consistent, and assessment used effectively. </w:t>
            </w:r>
          </w:p>
          <w:p w14:paraId="6ED23C43" w14:textId="77777777" w:rsidR="00996C54" w:rsidRDefault="00996C54" w:rsidP="17B8EB29">
            <w:pPr>
              <w:pStyle w:val="TableRow"/>
              <w:ind w:left="0"/>
              <w:rPr>
                <w:sz w:val="20"/>
                <w:szCs w:val="20"/>
              </w:rPr>
            </w:pPr>
          </w:p>
          <w:p w14:paraId="125EB61A" w14:textId="77777777" w:rsidR="00996C54" w:rsidRPr="00F5193E" w:rsidRDefault="00000000" w:rsidP="17B8EB29">
            <w:pPr>
              <w:pStyle w:val="TableRow"/>
              <w:ind w:left="0"/>
              <w:rPr>
                <w:sz w:val="20"/>
                <w:szCs w:val="20"/>
                <w:highlight w:val="yellow"/>
              </w:rPr>
            </w:pPr>
            <w:r w:rsidRPr="17B8EB29">
              <w:rPr>
                <w:sz w:val="20"/>
                <w:szCs w:val="20"/>
              </w:rPr>
              <w:t>Subject leader release time</w:t>
            </w:r>
            <w:r>
              <w:rPr>
                <w:sz w:val="20"/>
                <w:szCs w:val="20"/>
              </w:rPr>
              <w:t xml:space="preserve"> and Teaching and Learning time</w:t>
            </w:r>
          </w:p>
        </w:tc>
        <w:tc>
          <w:tcPr>
            <w:tcW w:w="38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59BCE" w14:textId="69E72665" w:rsidR="002E797A" w:rsidRDefault="00000000" w:rsidP="002E797A">
            <w:pPr>
              <w:pStyle w:val="TableRowCentered"/>
              <w:jc w:val="left"/>
              <w:rPr>
                <w:sz w:val="20"/>
              </w:rPr>
            </w:pPr>
            <w:r w:rsidRPr="17B8EB29">
              <w:rPr>
                <w:sz w:val="20"/>
              </w:rPr>
              <w:t>The EEF states that good teaching is the most important lever schools have to improve outcomes for disadvantaged pupils.</w:t>
            </w:r>
          </w:p>
          <w:p w14:paraId="44BFC3C0" w14:textId="77777777" w:rsidR="002E797A" w:rsidRDefault="002E797A" w:rsidP="002E797A">
            <w:pPr>
              <w:pStyle w:val="TableRowCentered"/>
              <w:jc w:val="left"/>
              <w:rPr>
                <w:sz w:val="20"/>
              </w:rPr>
            </w:pPr>
          </w:p>
          <w:p w14:paraId="6AAE304C" w14:textId="77777777" w:rsidR="00996C54" w:rsidRPr="00F5193E" w:rsidRDefault="00000000" w:rsidP="17B8EB29">
            <w:pPr>
              <w:pStyle w:val="TableRowCentered"/>
              <w:ind w:left="0"/>
              <w:jc w:val="left"/>
              <w:rPr>
                <w:sz w:val="20"/>
              </w:rPr>
            </w:pPr>
            <w:r w:rsidRPr="17B8EB29">
              <w:rPr>
                <w:sz w:val="20"/>
              </w:rPr>
              <w:t>Coaching opportunities have resulted in curriculum improvements by subject leaders. Monitoring shows need to develop consistency and quality assessment and retrieval opportunities.</w:t>
            </w:r>
          </w:p>
          <w:p w14:paraId="377FBCCF" w14:textId="77777777" w:rsidR="00996C54" w:rsidRPr="00F5193E" w:rsidRDefault="00996C54" w:rsidP="17B8EB29">
            <w:pPr>
              <w:pStyle w:val="TableRowCentered"/>
              <w:ind w:left="0"/>
              <w:jc w:val="left"/>
              <w:rPr>
                <w:sz w:val="20"/>
              </w:rPr>
            </w:pPr>
          </w:p>
        </w:tc>
        <w:tc>
          <w:tcPr>
            <w:tcW w:w="2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B2BF0" w14:textId="77777777" w:rsidR="00996C54" w:rsidRPr="00F5193E" w:rsidRDefault="00000000" w:rsidP="17B8EB29">
            <w:pPr>
              <w:pStyle w:val="TableRowCentered"/>
              <w:jc w:val="left"/>
              <w:rPr>
                <w:sz w:val="20"/>
              </w:rPr>
            </w:pPr>
            <w:r w:rsidRPr="17B8EB29">
              <w:rPr>
                <w:sz w:val="20"/>
              </w:rPr>
              <w:t xml:space="preserve">4 &amp; 6 </w:t>
            </w:r>
          </w:p>
        </w:tc>
      </w:tr>
      <w:tr w:rsidR="00D65798" w14:paraId="4D5A9C29" w14:textId="77777777" w:rsidTr="64312784">
        <w:tc>
          <w:tcPr>
            <w:tcW w:w="3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2B06A" w14:textId="77777777" w:rsidR="00996C54" w:rsidRDefault="00000000" w:rsidP="17B8EB29">
            <w:pPr>
              <w:pStyle w:val="TableRow"/>
              <w:ind w:left="0"/>
              <w:rPr>
                <w:sz w:val="20"/>
                <w:szCs w:val="20"/>
              </w:rPr>
            </w:pPr>
            <w:r w:rsidRPr="17B8EB29">
              <w:rPr>
                <w:sz w:val="20"/>
                <w:szCs w:val="20"/>
              </w:rPr>
              <w:t>Ensure capacity for effective CPD, including for ECT teachers and for teachers</w:t>
            </w:r>
            <w:r>
              <w:rPr>
                <w:sz w:val="20"/>
                <w:szCs w:val="20"/>
              </w:rPr>
              <w:t>.</w:t>
            </w:r>
          </w:p>
          <w:p w14:paraId="4D06A53A" w14:textId="77777777" w:rsidR="00996C54" w:rsidRDefault="00996C54" w:rsidP="17B8EB29">
            <w:pPr>
              <w:pStyle w:val="TableRow"/>
              <w:ind w:left="0"/>
              <w:rPr>
                <w:sz w:val="20"/>
                <w:szCs w:val="20"/>
              </w:rPr>
            </w:pPr>
          </w:p>
          <w:p w14:paraId="12FD904B" w14:textId="77777777" w:rsidR="00996C54" w:rsidRDefault="00000000" w:rsidP="17B8EB29">
            <w:pPr>
              <w:pStyle w:val="TableRow"/>
              <w:ind w:left="0"/>
              <w:rPr>
                <w:sz w:val="20"/>
                <w:szCs w:val="20"/>
                <w:highlight w:val="yellow"/>
              </w:rPr>
            </w:pPr>
            <w:r w:rsidRPr="17B8EB29">
              <w:rPr>
                <w:sz w:val="20"/>
                <w:szCs w:val="20"/>
              </w:rPr>
              <w:t>Use pupil progress meetings with DH to identify CPD and intervention needs.</w:t>
            </w:r>
            <w:r>
              <w:br/>
            </w:r>
          </w:p>
        </w:tc>
        <w:tc>
          <w:tcPr>
            <w:tcW w:w="38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954824" w14:textId="77777777" w:rsidR="00996C54" w:rsidRDefault="00000000" w:rsidP="17B8EB29">
            <w:pPr>
              <w:suppressAutoHyphens w:val="0"/>
              <w:autoSpaceDE w:val="0"/>
              <w:adjustRightInd w:val="0"/>
              <w:spacing w:after="0" w:line="240" w:lineRule="auto"/>
              <w:rPr>
                <w:rFonts w:ascii="HelveticaNeue-Light" w:hAnsi="HelveticaNeue-Light" w:cs="HelveticaNeue-Light"/>
                <w:color w:val="auto"/>
                <w:sz w:val="20"/>
                <w:szCs w:val="20"/>
              </w:rPr>
            </w:pPr>
            <w:r w:rsidRPr="17B8EB29">
              <w:rPr>
                <w:rFonts w:ascii="HelveticaNeue-Light" w:hAnsi="HelveticaNeue-Light" w:cs="HelveticaNeue-Light"/>
                <w:color w:val="auto"/>
                <w:sz w:val="20"/>
                <w:szCs w:val="20"/>
              </w:rPr>
              <w:t>EEF recognises that ensuring that teachers are provided with high quality CPD is crucial in improving pupil outcomes.</w:t>
            </w:r>
          </w:p>
          <w:p w14:paraId="0DFD5E14" w14:textId="77777777" w:rsidR="00996C54" w:rsidRDefault="00996C54" w:rsidP="17B8EB29">
            <w:pPr>
              <w:suppressAutoHyphens w:val="0"/>
              <w:autoSpaceDE w:val="0"/>
              <w:adjustRightInd w:val="0"/>
              <w:spacing w:after="0" w:line="240" w:lineRule="auto"/>
              <w:rPr>
                <w:sz w:val="20"/>
                <w:szCs w:val="20"/>
              </w:rPr>
            </w:pPr>
          </w:p>
          <w:p w14:paraId="4C0EE64E" w14:textId="77777777" w:rsidR="00996C54" w:rsidRDefault="00996C54" w:rsidP="17B8EB29">
            <w:pPr>
              <w:suppressAutoHyphens w:val="0"/>
              <w:autoSpaceDE w:val="0"/>
              <w:adjustRightInd w:val="0"/>
              <w:spacing w:after="0" w:line="240" w:lineRule="auto"/>
              <w:rPr>
                <w:sz w:val="20"/>
                <w:szCs w:val="20"/>
              </w:rPr>
            </w:pPr>
          </w:p>
          <w:p w14:paraId="72A60B49" w14:textId="77777777" w:rsidR="00996C54" w:rsidRPr="00F5193E" w:rsidRDefault="00000000" w:rsidP="17B8EB29">
            <w:pPr>
              <w:suppressAutoHyphens w:val="0"/>
              <w:autoSpaceDE w:val="0"/>
              <w:adjustRightInd w:val="0"/>
              <w:spacing w:after="0" w:line="240" w:lineRule="auto"/>
              <w:rPr>
                <w:sz w:val="20"/>
                <w:szCs w:val="20"/>
              </w:rPr>
            </w:pPr>
            <w:r w:rsidRPr="17B8EB29">
              <w:rPr>
                <w:sz w:val="20"/>
                <w:szCs w:val="20"/>
              </w:rPr>
              <w:t xml:space="preserve">Pupil progress meetings have been effective in evaluation of CPD needs and deployment of staffing resource to raise rates of progress. </w:t>
            </w:r>
          </w:p>
        </w:tc>
        <w:tc>
          <w:tcPr>
            <w:tcW w:w="2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BDE43" w14:textId="77777777" w:rsidR="00996C54" w:rsidRDefault="00000000" w:rsidP="00C6536C">
            <w:pPr>
              <w:pStyle w:val="TableRowCentered"/>
              <w:jc w:val="left"/>
              <w:rPr>
                <w:szCs w:val="24"/>
              </w:rPr>
            </w:pPr>
            <w:r>
              <w:rPr>
                <w:szCs w:val="24"/>
              </w:rPr>
              <w:t>4 &amp; 6</w:t>
            </w:r>
          </w:p>
        </w:tc>
      </w:tr>
    </w:tbl>
    <w:p w14:paraId="2825B959" w14:textId="77777777" w:rsidR="00996C54" w:rsidRDefault="00996C54">
      <w:pPr>
        <w:rPr>
          <w:b/>
          <w:bCs/>
          <w:color w:val="104F75"/>
          <w:sz w:val="28"/>
          <w:szCs w:val="28"/>
        </w:rPr>
      </w:pPr>
    </w:p>
    <w:p w14:paraId="4A4446C0" w14:textId="77777777" w:rsidR="00996C54" w:rsidRDefault="00000000">
      <w:pPr>
        <w:rPr>
          <w:b/>
          <w:bCs/>
          <w:color w:val="104F75"/>
          <w:sz w:val="28"/>
          <w:szCs w:val="28"/>
        </w:rPr>
      </w:pPr>
      <w:r>
        <w:rPr>
          <w:b/>
          <w:bCs/>
          <w:color w:val="104F75"/>
          <w:sz w:val="28"/>
          <w:szCs w:val="28"/>
        </w:rPr>
        <w:t xml:space="preserve">Targeted academic support (for example, tutoring, one-to-one support structured interventions) </w:t>
      </w:r>
    </w:p>
    <w:p w14:paraId="385B0F2A" w14:textId="77777777" w:rsidR="00996C54" w:rsidRDefault="00000000">
      <w:r w:rsidRPr="00303754">
        <w:t>Budgeted cost: £24,</w:t>
      </w:r>
      <w:r>
        <w:t>205</w:t>
      </w:r>
    </w:p>
    <w:tbl>
      <w:tblPr>
        <w:tblW w:w="5000" w:type="pct"/>
        <w:tblCellMar>
          <w:left w:w="10" w:type="dxa"/>
          <w:right w:w="10" w:type="dxa"/>
        </w:tblCellMar>
        <w:tblLook w:val="04A0" w:firstRow="1" w:lastRow="0" w:firstColumn="1" w:lastColumn="0" w:noHBand="0" w:noVBand="1"/>
      </w:tblPr>
      <w:tblGrid>
        <w:gridCol w:w="2619"/>
        <w:gridCol w:w="4627"/>
        <w:gridCol w:w="2240"/>
      </w:tblGrid>
      <w:tr w:rsidR="00E66558" w14:paraId="76B3D2CC" w14:textId="77777777" w:rsidTr="67963D5F">
        <w:tc>
          <w:tcPr>
            <w:tcW w:w="26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186188D0" w14:textId="77777777" w:rsidR="00996C54" w:rsidRDefault="00000000">
            <w:pPr>
              <w:pStyle w:val="TableHeader"/>
              <w:jc w:val="left"/>
            </w:pPr>
            <w:r>
              <w:t>Activity</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70CA6322" w14:textId="77777777" w:rsidR="00996C54" w:rsidRDefault="00000000">
            <w:pPr>
              <w:pStyle w:val="TableHeader"/>
              <w:jc w:val="left"/>
            </w:pPr>
            <w:r>
              <w:t>Evidence that supports this approach</w:t>
            </w: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1F4A0BCF" w14:textId="77777777" w:rsidR="00996C54" w:rsidRDefault="00000000">
            <w:pPr>
              <w:pStyle w:val="TableHeader"/>
              <w:jc w:val="left"/>
            </w:pPr>
            <w:r>
              <w:t>Challenge number(s) addressed</w:t>
            </w:r>
          </w:p>
        </w:tc>
      </w:tr>
      <w:tr w:rsidR="00E66558" w14:paraId="5091C901" w14:textId="77777777" w:rsidTr="67963D5F">
        <w:tc>
          <w:tcPr>
            <w:tcW w:w="2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ACAB4" w14:textId="21063F95" w:rsidR="00996C54" w:rsidRPr="00F5193E" w:rsidRDefault="00000000" w:rsidP="17B8EB29">
            <w:pPr>
              <w:pStyle w:val="TableRow"/>
              <w:rPr>
                <w:sz w:val="20"/>
                <w:szCs w:val="20"/>
              </w:rPr>
            </w:pPr>
            <w:r w:rsidRPr="17B8EB29">
              <w:rPr>
                <w:sz w:val="20"/>
                <w:szCs w:val="20"/>
              </w:rPr>
              <w:t xml:space="preserve">TA training to raise knowledge, skills and understanding for staff supporting target children in classes and through group </w:t>
            </w:r>
            <w:r w:rsidR="00F278A0">
              <w:rPr>
                <w:sz w:val="20"/>
                <w:szCs w:val="20"/>
              </w:rPr>
              <w:t xml:space="preserve">intervention </w:t>
            </w:r>
            <w:r w:rsidRPr="17B8EB29">
              <w:rPr>
                <w:sz w:val="20"/>
                <w:szCs w:val="20"/>
              </w:rPr>
              <w:t xml:space="preserve">activities: </w:t>
            </w:r>
          </w:p>
          <w:p w14:paraId="20219042" w14:textId="38712A07" w:rsidR="00996C54" w:rsidRPr="00A44536" w:rsidRDefault="00000000" w:rsidP="00A44536">
            <w:pPr>
              <w:pStyle w:val="TableRow"/>
              <w:ind w:left="-46"/>
              <w:rPr>
                <w:color w:val="F79646"/>
                <w:sz w:val="20"/>
                <w:szCs w:val="20"/>
              </w:rPr>
            </w:pPr>
            <w:r>
              <w:rPr>
                <w:sz w:val="20"/>
                <w:szCs w:val="20"/>
              </w:rPr>
              <w:t xml:space="preserve">Training linked to </w:t>
            </w:r>
            <w:r w:rsidR="002E797A">
              <w:rPr>
                <w:sz w:val="20"/>
                <w:szCs w:val="20"/>
              </w:rPr>
              <w:t xml:space="preserve">  </w:t>
            </w:r>
            <w:r>
              <w:rPr>
                <w:sz w:val="20"/>
                <w:szCs w:val="20"/>
              </w:rPr>
              <w:t>specialist programmes and interventions</w:t>
            </w:r>
            <w:r w:rsidR="00F278A0">
              <w:rPr>
                <w:sz w:val="20"/>
                <w:szCs w:val="20"/>
              </w:rPr>
              <w:t>.</w:t>
            </w:r>
            <w:r>
              <w:rPr>
                <w:sz w:val="20"/>
                <w:szCs w:val="20"/>
              </w:rPr>
              <w:t xml:space="preserve"> </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7FF21" w14:textId="77777777" w:rsidR="00996C54" w:rsidRDefault="00000000" w:rsidP="17B8EB29">
            <w:pPr>
              <w:pStyle w:val="TableRowCentered"/>
              <w:jc w:val="left"/>
              <w:rPr>
                <w:sz w:val="20"/>
              </w:rPr>
            </w:pPr>
            <w:r w:rsidRPr="17B8EB29">
              <w:rPr>
                <w:sz w:val="20"/>
              </w:rPr>
              <w:t>EEF states that considerations should be given to how classroom teachers and TAs can provide targeted support linking one to one or small group intervention to classroom teaching.</w:t>
            </w:r>
          </w:p>
          <w:p w14:paraId="41F375F2" w14:textId="77777777" w:rsidR="00996C54" w:rsidRDefault="00996C54" w:rsidP="17B8EB29">
            <w:pPr>
              <w:pStyle w:val="TableRowCentered"/>
              <w:jc w:val="left"/>
              <w:rPr>
                <w:sz w:val="20"/>
              </w:rPr>
            </w:pPr>
          </w:p>
          <w:p w14:paraId="3400A067" w14:textId="77777777" w:rsidR="00996C54" w:rsidRPr="00F5193E" w:rsidRDefault="00996C54" w:rsidP="17B8EB29">
            <w:pPr>
              <w:pStyle w:val="TableRowCentered"/>
              <w:jc w:val="left"/>
              <w:rPr>
                <w:sz w:val="20"/>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660F1" w14:textId="3883A949" w:rsidR="00996C54" w:rsidRPr="00F5193E" w:rsidRDefault="00000000" w:rsidP="17B8EB29">
            <w:pPr>
              <w:pStyle w:val="TableRowCentered"/>
              <w:jc w:val="left"/>
              <w:rPr>
                <w:sz w:val="20"/>
              </w:rPr>
            </w:pPr>
            <w:r w:rsidRPr="17B8EB29">
              <w:rPr>
                <w:sz w:val="20"/>
              </w:rPr>
              <w:t xml:space="preserve"> </w:t>
            </w:r>
            <w:r w:rsidR="00F278A0">
              <w:rPr>
                <w:sz w:val="20"/>
              </w:rPr>
              <w:t>5, 2 and 3</w:t>
            </w:r>
          </w:p>
        </w:tc>
      </w:tr>
      <w:tr w:rsidR="008170FC" w14:paraId="5076335B" w14:textId="77777777" w:rsidTr="67963D5F">
        <w:tc>
          <w:tcPr>
            <w:tcW w:w="2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901D6" w14:textId="77777777" w:rsidR="00996C54" w:rsidRPr="00F5193E" w:rsidRDefault="00000000" w:rsidP="17B8EB29">
            <w:pPr>
              <w:pStyle w:val="TableRow"/>
              <w:rPr>
                <w:sz w:val="20"/>
                <w:szCs w:val="20"/>
              </w:rPr>
            </w:pPr>
            <w:r w:rsidRPr="17B8EB29">
              <w:rPr>
                <w:sz w:val="20"/>
                <w:szCs w:val="20"/>
              </w:rPr>
              <w:t xml:space="preserve">Focus on diagnostic assessment and oral language intervention commencing in the early years, ensuring capacity for training and delivery of programme and </w:t>
            </w:r>
            <w:r w:rsidRPr="17B8EB29">
              <w:rPr>
                <w:sz w:val="20"/>
                <w:szCs w:val="20"/>
              </w:rPr>
              <w:lastRenderedPageBreak/>
              <w:t xml:space="preserve">related good practice recommendations. </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81362" w14:textId="77777777" w:rsidR="00996C54" w:rsidRDefault="00000000" w:rsidP="17B8EB29">
            <w:pPr>
              <w:pStyle w:val="TableRowCentered"/>
              <w:jc w:val="left"/>
              <w:rPr>
                <w:rFonts w:cs="Arial"/>
                <w:color w:val="auto"/>
                <w:sz w:val="20"/>
              </w:rPr>
            </w:pPr>
            <w:r w:rsidRPr="17B8EB29">
              <w:rPr>
                <w:sz w:val="20"/>
              </w:rPr>
              <w:lastRenderedPageBreak/>
              <w:t xml:space="preserve">Early language is key to literacy. </w:t>
            </w:r>
            <w:r w:rsidRPr="17B8EB29">
              <w:rPr>
                <w:rFonts w:cs="Arial"/>
                <w:color w:val="auto"/>
                <w:sz w:val="20"/>
              </w:rPr>
              <w:t>Approaches that focus on speaking, listening and a combination of the two show positive impacts on attainment</w:t>
            </w:r>
          </w:p>
          <w:p w14:paraId="177C69A0" w14:textId="77777777" w:rsidR="00996C54" w:rsidRPr="000106A2" w:rsidRDefault="00000000" w:rsidP="17B8EB29">
            <w:pPr>
              <w:pStyle w:val="TableRowCentered"/>
              <w:spacing w:after="120"/>
              <w:jc w:val="left"/>
              <w:rPr>
                <w:color w:val="0070C0"/>
                <w:sz w:val="20"/>
              </w:rPr>
            </w:pPr>
            <w:hyperlink r:id="rId12">
              <w:r w:rsidRPr="17B8EB29">
                <w:rPr>
                  <w:color w:val="0070C0"/>
                  <w:sz w:val="20"/>
                  <w:u w:val="single"/>
                </w:rPr>
                <w:t>Oral language interventions | EEF (educationendowmentfoundation.org.uk)</w:t>
              </w:r>
            </w:hyperlink>
          </w:p>
          <w:p w14:paraId="1AECDC7E" w14:textId="77777777" w:rsidR="00996C54" w:rsidRPr="00F5193E" w:rsidRDefault="00996C54" w:rsidP="17B8EB29">
            <w:pPr>
              <w:pStyle w:val="TableRowCentered"/>
              <w:jc w:val="left"/>
              <w:rPr>
                <w:sz w:val="20"/>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39E8D" w14:textId="77777777" w:rsidR="00996C54" w:rsidRPr="00F5193E" w:rsidRDefault="00000000" w:rsidP="17B8EB29">
            <w:pPr>
              <w:pStyle w:val="TableRowCentered"/>
              <w:jc w:val="left"/>
              <w:rPr>
                <w:sz w:val="20"/>
              </w:rPr>
            </w:pPr>
            <w:r w:rsidRPr="17B8EB29">
              <w:rPr>
                <w:sz w:val="20"/>
              </w:rPr>
              <w:t>2</w:t>
            </w:r>
          </w:p>
        </w:tc>
      </w:tr>
      <w:tr w:rsidR="00E66558" w14:paraId="4F377CBF" w14:textId="77777777" w:rsidTr="67963D5F">
        <w:tc>
          <w:tcPr>
            <w:tcW w:w="2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D035F" w14:textId="77777777" w:rsidR="00996C54" w:rsidRDefault="00000000" w:rsidP="17B8EB29">
            <w:pPr>
              <w:pStyle w:val="TableRow"/>
              <w:rPr>
                <w:sz w:val="20"/>
                <w:szCs w:val="20"/>
              </w:rPr>
            </w:pPr>
            <w:r w:rsidRPr="67963D5F">
              <w:rPr>
                <w:sz w:val="20"/>
                <w:szCs w:val="20"/>
              </w:rPr>
              <w:t xml:space="preserve">Establish small group </w:t>
            </w:r>
            <w:r>
              <w:rPr>
                <w:sz w:val="20"/>
                <w:szCs w:val="20"/>
              </w:rPr>
              <w:t xml:space="preserve">or 1:1 </w:t>
            </w:r>
            <w:r w:rsidRPr="67963D5F">
              <w:rPr>
                <w:sz w:val="20"/>
                <w:szCs w:val="20"/>
              </w:rPr>
              <w:t>tuition for targeted pupils falling behind ARE</w:t>
            </w:r>
          </w:p>
          <w:p w14:paraId="42B2E0D6" w14:textId="77777777" w:rsidR="00F278A0" w:rsidRDefault="00F278A0" w:rsidP="17B8EB29">
            <w:pPr>
              <w:pStyle w:val="TableRow"/>
              <w:rPr>
                <w:sz w:val="20"/>
                <w:szCs w:val="20"/>
              </w:rPr>
            </w:pPr>
          </w:p>
          <w:p w14:paraId="3219C0CB" w14:textId="5B0E99C5" w:rsidR="00F278A0" w:rsidRDefault="00F278A0" w:rsidP="00F278A0">
            <w:pPr>
              <w:pStyle w:val="TableRow"/>
              <w:rPr>
                <w:sz w:val="20"/>
                <w:szCs w:val="20"/>
              </w:rPr>
            </w:pPr>
            <w:r w:rsidRPr="67963D5F">
              <w:rPr>
                <w:sz w:val="20"/>
                <w:szCs w:val="20"/>
              </w:rPr>
              <w:t>Small group, regular interventions planned to address identified gaps</w:t>
            </w:r>
            <w:r>
              <w:rPr>
                <w:sz w:val="20"/>
                <w:szCs w:val="20"/>
              </w:rPr>
              <w:t>:</w:t>
            </w:r>
          </w:p>
          <w:p w14:paraId="5F974121" w14:textId="5A2E03FD" w:rsidR="00996C54" w:rsidRDefault="00F278A0" w:rsidP="17B8EB29">
            <w:pPr>
              <w:pStyle w:val="TableRow"/>
              <w:rPr>
                <w:sz w:val="20"/>
                <w:szCs w:val="20"/>
              </w:rPr>
            </w:pPr>
            <w:r>
              <w:rPr>
                <w:sz w:val="20"/>
                <w:szCs w:val="20"/>
              </w:rPr>
              <w:t xml:space="preserve">(focus on language programmes / RWI Fast Track Tutoring / early gross and fine motor and handwriting support, times tables and arithmetic skills, reading, editing etc). </w:t>
            </w:r>
          </w:p>
          <w:p w14:paraId="4F7023E3" w14:textId="5D206A68" w:rsidR="00996C54" w:rsidRPr="00F04709" w:rsidRDefault="00000000" w:rsidP="67963D5F">
            <w:pPr>
              <w:pStyle w:val="TableRow"/>
              <w:rPr>
                <w:sz w:val="20"/>
                <w:szCs w:val="20"/>
                <w:highlight w:val="yellow"/>
              </w:rPr>
            </w:pPr>
            <w:r>
              <w:br/>
            </w:r>
            <w:r w:rsidRPr="67963D5F">
              <w:rPr>
                <w:sz w:val="20"/>
                <w:szCs w:val="20"/>
              </w:rPr>
              <w:t>Develop specialist support for High Need pupils</w:t>
            </w:r>
            <w:r w:rsidR="00F278A0">
              <w:rPr>
                <w:sz w:val="20"/>
                <w:szCs w:val="20"/>
              </w:rPr>
              <w:t>.</w:t>
            </w:r>
            <w:r w:rsidRPr="67963D5F">
              <w:rPr>
                <w:sz w:val="20"/>
                <w:szCs w:val="20"/>
              </w:rPr>
              <w:t xml:space="preserve"> </w:t>
            </w:r>
          </w:p>
          <w:p w14:paraId="384008A0" w14:textId="325BF08E" w:rsidR="00996C54" w:rsidRPr="00F04709" w:rsidRDefault="00996C54" w:rsidP="67963D5F">
            <w:pPr>
              <w:pStyle w:val="TableRow"/>
              <w:rPr>
                <w:sz w:val="20"/>
                <w:szCs w:val="20"/>
              </w:rPr>
            </w:pP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7BED1" w14:textId="77777777" w:rsidR="00996C54" w:rsidRDefault="00000000" w:rsidP="17B8EB29">
            <w:pPr>
              <w:pStyle w:val="TableRowCentered"/>
              <w:ind w:left="0"/>
              <w:jc w:val="left"/>
              <w:rPr>
                <w:sz w:val="20"/>
              </w:rPr>
            </w:pPr>
            <w:r w:rsidRPr="17B8EB29">
              <w:rPr>
                <w:sz w:val="20"/>
              </w:rPr>
              <w:t>DfE advocates activities that include provision of targeted academic support.</w:t>
            </w:r>
          </w:p>
          <w:p w14:paraId="577FFF7D" w14:textId="77777777" w:rsidR="00996C54" w:rsidRPr="00E27862" w:rsidRDefault="00000000" w:rsidP="17B8EB29">
            <w:pPr>
              <w:autoSpaceDN/>
              <w:spacing w:before="60" w:after="60" w:line="240" w:lineRule="auto"/>
              <w:ind w:left="57" w:right="57"/>
              <w:rPr>
                <w:color w:val="auto"/>
                <w:sz w:val="20"/>
                <w:szCs w:val="20"/>
              </w:rPr>
            </w:pPr>
            <w:r w:rsidRPr="67963D5F">
              <w:rPr>
                <w:color w:val="auto"/>
                <w:sz w:val="20"/>
                <w:szCs w:val="20"/>
              </w:rPr>
              <w:t>Intervention targeted at specific needs and knowledge gaps can be an effective method to support low attaining pupils or those falling behind.</w:t>
            </w:r>
          </w:p>
          <w:p w14:paraId="647934A7" w14:textId="77777777" w:rsidR="00996C54" w:rsidRDefault="00000000" w:rsidP="17B8EB29">
            <w:pPr>
              <w:pStyle w:val="TableRowCentered"/>
              <w:ind w:left="0"/>
              <w:jc w:val="left"/>
              <w:rPr>
                <w:sz w:val="20"/>
              </w:rPr>
            </w:pPr>
            <w:hyperlink r:id="rId13">
              <w:r w:rsidRPr="17B8EB29">
                <w:rPr>
                  <w:color w:val="0070C0"/>
                  <w:sz w:val="20"/>
                  <w:u w:val="single"/>
                </w:rPr>
                <w:t>Small group tuition | Toolkit Strand | Education Endowment Foundation | EEF</w:t>
              </w:r>
            </w:hyperlink>
          </w:p>
          <w:p w14:paraId="18E5C722" w14:textId="77777777" w:rsidR="00996C54" w:rsidRDefault="00000000" w:rsidP="17B8EB29">
            <w:pPr>
              <w:pStyle w:val="TableRowCentered"/>
              <w:ind w:left="0"/>
              <w:jc w:val="left"/>
              <w:rPr>
                <w:sz w:val="20"/>
              </w:rPr>
            </w:pPr>
            <w:r w:rsidRPr="17B8EB29">
              <w:rPr>
                <w:sz w:val="20"/>
              </w:rPr>
              <w:t xml:space="preserve">EEF advocates small group tuition that offers opportunity for greater levels of interaction and feedback. </w:t>
            </w:r>
          </w:p>
          <w:p w14:paraId="42151C5F" w14:textId="77777777" w:rsidR="00996C54" w:rsidRDefault="00000000" w:rsidP="17B8EB29">
            <w:pPr>
              <w:pStyle w:val="TableRowCentered"/>
              <w:ind w:left="0"/>
              <w:jc w:val="left"/>
              <w:rPr>
                <w:sz w:val="20"/>
              </w:rPr>
            </w:pPr>
            <w:r w:rsidRPr="17B8EB29">
              <w:rPr>
                <w:sz w:val="20"/>
              </w:rPr>
              <w:t xml:space="preserve">EEF states that teaching assistant interventions targeted at pupils requiring additional support can help previously low attaining pupils overcome barriers to learning and ‘catch up’.  </w:t>
            </w:r>
          </w:p>
          <w:p w14:paraId="3EEE4B1E" w14:textId="77777777" w:rsidR="00996C54" w:rsidRPr="00F5193E" w:rsidRDefault="00996C54" w:rsidP="17B8EB29">
            <w:pPr>
              <w:pStyle w:val="TableRowCentered"/>
              <w:ind w:left="0"/>
              <w:jc w:val="left"/>
              <w:rPr>
                <w:sz w:val="20"/>
                <w:highlight w:val="yellow"/>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4993C" w14:textId="2213EE4C" w:rsidR="00996C54" w:rsidRPr="00F5193E" w:rsidRDefault="00000000" w:rsidP="17B8EB29">
            <w:pPr>
              <w:pStyle w:val="TableRowCentered"/>
              <w:ind w:left="0"/>
              <w:jc w:val="left"/>
              <w:rPr>
                <w:sz w:val="20"/>
              </w:rPr>
            </w:pPr>
            <w:r w:rsidRPr="17B8EB29">
              <w:rPr>
                <w:sz w:val="20"/>
              </w:rPr>
              <w:t xml:space="preserve"> 5, 6 &amp; 7</w:t>
            </w:r>
          </w:p>
        </w:tc>
      </w:tr>
      <w:tr w:rsidR="00EF0684" w14:paraId="583E751B" w14:textId="77777777" w:rsidTr="67963D5F">
        <w:tc>
          <w:tcPr>
            <w:tcW w:w="2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97F15" w14:textId="77777777" w:rsidR="00996C54" w:rsidRDefault="00000000" w:rsidP="17B8EB29">
            <w:pPr>
              <w:pStyle w:val="TableRow"/>
              <w:rPr>
                <w:sz w:val="20"/>
                <w:szCs w:val="20"/>
              </w:rPr>
            </w:pPr>
            <w:r w:rsidRPr="67963D5F">
              <w:rPr>
                <w:sz w:val="20"/>
                <w:szCs w:val="20"/>
              </w:rPr>
              <w:t>Targeted provision of HLTA homework club to allow pupils to consolidate learning focusing on maths and reading</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4D1E59" w14:textId="77777777" w:rsidR="00996C54" w:rsidRPr="00F5193E" w:rsidRDefault="00000000" w:rsidP="17B8EB29">
            <w:pPr>
              <w:pStyle w:val="TableRowCentered"/>
              <w:ind w:left="0"/>
              <w:jc w:val="left"/>
              <w:rPr>
                <w:sz w:val="20"/>
              </w:rPr>
            </w:pPr>
            <w:r w:rsidRPr="17B8EB29">
              <w:rPr>
                <w:sz w:val="20"/>
              </w:rPr>
              <w:t xml:space="preserve">EEF states that teaching assistant interventions can be targeted at pupils requiring additional support and can help previously low attaining pupils overcome barriers to learning and ‘catch up’.  </w:t>
            </w: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20E61" w14:textId="74CDDB68" w:rsidR="00996C54" w:rsidRPr="00F278A0" w:rsidRDefault="00F278A0" w:rsidP="00036A32">
            <w:pPr>
              <w:pStyle w:val="TableRowCentered"/>
              <w:ind w:left="0"/>
              <w:jc w:val="left"/>
              <w:rPr>
                <w:sz w:val="20"/>
              </w:rPr>
            </w:pPr>
            <w:r w:rsidRPr="00F278A0">
              <w:rPr>
                <w:sz w:val="20"/>
              </w:rPr>
              <w:t>3,5 and 9</w:t>
            </w:r>
          </w:p>
        </w:tc>
      </w:tr>
    </w:tbl>
    <w:p w14:paraId="6F1F6CCA" w14:textId="77777777" w:rsidR="00996C54" w:rsidRDefault="00996C54">
      <w:pPr>
        <w:spacing w:after="0"/>
        <w:rPr>
          <w:b/>
          <w:color w:val="104F75"/>
          <w:sz w:val="28"/>
          <w:szCs w:val="28"/>
        </w:rPr>
      </w:pPr>
    </w:p>
    <w:p w14:paraId="239D7560" w14:textId="77777777" w:rsidR="00996C54" w:rsidRDefault="00996C54">
      <w:pPr>
        <w:spacing w:after="0"/>
        <w:rPr>
          <w:b/>
          <w:color w:val="104F75"/>
          <w:sz w:val="28"/>
          <w:szCs w:val="28"/>
        </w:rPr>
      </w:pPr>
    </w:p>
    <w:p w14:paraId="6AAC9E3E" w14:textId="77777777" w:rsidR="00996C54" w:rsidRDefault="00996C54">
      <w:pPr>
        <w:spacing w:after="0"/>
        <w:rPr>
          <w:b/>
          <w:color w:val="104F75"/>
          <w:sz w:val="28"/>
          <w:szCs w:val="28"/>
        </w:rPr>
      </w:pPr>
    </w:p>
    <w:p w14:paraId="7B3F9D77" w14:textId="77777777" w:rsidR="00996C54" w:rsidRDefault="00996C54">
      <w:pPr>
        <w:spacing w:after="0"/>
        <w:rPr>
          <w:b/>
          <w:color w:val="104F75"/>
          <w:sz w:val="28"/>
          <w:szCs w:val="28"/>
        </w:rPr>
      </w:pPr>
    </w:p>
    <w:p w14:paraId="5288E27A" w14:textId="77777777" w:rsidR="00996C54" w:rsidRDefault="00000000">
      <w:pPr>
        <w:rPr>
          <w:b/>
          <w:color w:val="104F75"/>
          <w:sz w:val="28"/>
          <w:szCs w:val="28"/>
        </w:rPr>
      </w:pPr>
      <w:r>
        <w:rPr>
          <w:b/>
          <w:color w:val="104F75"/>
          <w:sz w:val="28"/>
          <w:szCs w:val="28"/>
        </w:rPr>
        <w:t>Wider strategies (for example, related to attendance, behaviour, wellbeing)</w:t>
      </w:r>
    </w:p>
    <w:p w14:paraId="68655316" w14:textId="77777777" w:rsidR="00996C54" w:rsidRDefault="00000000">
      <w:pPr>
        <w:spacing w:before="240" w:after="120"/>
      </w:pPr>
      <w:r w:rsidRPr="00303754">
        <w:t>Budgeted cost: £43,233</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74105A15" w14:textId="77777777" w:rsidTr="67963D5F">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12315AFF" w14:textId="77777777" w:rsidR="00996C54" w:rsidRDefault="00000000">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0A7CA09D" w14:textId="77777777" w:rsidR="00996C54" w:rsidRDefault="00000000">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6A2A4E72" w14:textId="77777777" w:rsidR="00996C54" w:rsidRDefault="00000000">
            <w:pPr>
              <w:pStyle w:val="TableHeader"/>
              <w:jc w:val="left"/>
            </w:pPr>
            <w:r>
              <w:t>Challenge number(s) addressed</w:t>
            </w:r>
          </w:p>
        </w:tc>
      </w:tr>
      <w:tr w:rsidR="00F20C15" w14:paraId="28FC4689" w14:textId="77777777" w:rsidTr="67963D5F">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CBC55" w14:textId="77777777" w:rsidR="00996C54" w:rsidRPr="00F5193E" w:rsidRDefault="00000000" w:rsidP="17B8EB29">
            <w:pPr>
              <w:pStyle w:val="TableRow"/>
              <w:rPr>
                <w:sz w:val="20"/>
                <w:szCs w:val="20"/>
              </w:rPr>
            </w:pPr>
            <w:r w:rsidRPr="17B8EB29">
              <w:rPr>
                <w:sz w:val="20"/>
                <w:szCs w:val="20"/>
              </w:rPr>
              <w:t xml:space="preserve">Work with CSAWs (school’s AWO partner) to raise attendance and reduce persistent absence and improve punctuality for pupil premium learners through targeted approaches.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1E784" w14:textId="77777777" w:rsidR="00996C54" w:rsidRDefault="00000000" w:rsidP="17B8EB29">
            <w:pPr>
              <w:pStyle w:val="TableRowCentered"/>
              <w:jc w:val="left"/>
              <w:rPr>
                <w:sz w:val="20"/>
              </w:rPr>
            </w:pPr>
            <w:r>
              <w:rPr>
                <w:sz w:val="20"/>
              </w:rPr>
              <w:t>DFE endorses the PP to support attendance</w:t>
            </w:r>
          </w:p>
          <w:p w14:paraId="060B763E" w14:textId="77777777" w:rsidR="00996C54" w:rsidRPr="00F5193E" w:rsidRDefault="00996C54" w:rsidP="17B8EB29">
            <w:pPr>
              <w:pStyle w:val="TableRowCentered"/>
              <w:jc w:val="left"/>
              <w:rPr>
                <w:sz w:val="20"/>
              </w:rPr>
            </w:pPr>
          </w:p>
          <w:p w14:paraId="00C3E059" w14:textId="77777777" w:rsidR="00996C54" w:rsidRPr="00F5193E" w:rsidRDefault="00000000" w:rsidP="17B8EB29">
            <w:pPr>
              <w:pStyle w:val="TableRowCentered"/>
              <w:jc w:val="left"/>
              <w:rPr>
                <w:sz w:val="20"/>
              </w:rPr>
            </w:pPr>
            <w:r w:rsidRPr="17B8EB29">
              <w:rPr>
                <w:sz w:val="20"/>
              </w:rPr>
              <w:t>Analysis of attendance outcomes shows that attendance of pupil premium learners is below that of peers.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2762B" w14:textId="77777777" w:rsidR="00996C54" w:rsidRPr="00F278A0" w:rsidRDefault="00000000" w:rsidP="00F20C15">
            <w:pPr>
              <w:pStyle w:val="TableRowCentered"/>
              <w:jc w:val="left"/>
              <w:rPr>
                <w:sz w:val="20"/>
              </w:rPr>
            </w:pPr>
            <w:r w:rsidRPr="00F278A0">
              <w:rPr>
                <w:sz w:val="20"/>
              </w:rPr>
              <w:t xml:space="preserve">1 </w:t>
            </w:r>
          </w:p>
        </w:tc>
      </w:tr>
      <w:tr w:rsidR="008217E9" w14:paraId="01CEB333" w14:textId="77777777" w:rsidTr="67963D5F">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ABEF9" w14:textId="77777777" w:rsidR="00996C54" w:rsidRPr="00F5193E" w:rsidRDefault="00000000" w:rsidP="17B8EB29">
            <w:pPr>
              <w:pStyle w:val="TableRow"/>
              <w:rPr>
                <w:sz w:val="20"/>
                <w:szCs w:val="20"/>
              </w:rPr>
            </w:pPr>
            <w:r w:rsidRPr="17B8EB29">
              <w:rPr>
                <w:sz w:val="20"/>
                <w:szCs w:val="20"/>
              </w:rPr>
              <w:t>Child and Family Support Worker to support families linked to vulnerabilities including social care, well-</w:t>
            </w:r>
            <w:r w:rsidRPr="17B8EB29">
              <w:rPr>
                <w:sz w:val="20"/>
                <w:szCs w:val="20"/>
              </w:rPr>
              <w:lastRenderedPageBreak/>
              <w:t xml:space="preserve">being, attendance and engagement.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D420F" w14:textId="77777777" w:rsidR="00996C54" w:rsidRDefault="00000000" w:rsidP="17B8EB29">
            <w:pPr>
              <w:pStyle w:val="TableRowCentered"/>
              <w:jc w:val="left"/>
              <w:rPr>
                <w:sz w:val="20"/>
              </w:rPr>
            </w:pPr>
            <w:r w:rsidRPr="17B8EB29">
              <w:rPr>
                <w:sz w:val="20"/>
              </w:rPr>
              <w:lastRenderedPageBreak/>
              <w:t xml:space="preserve">DfE endorses use of </w:t>
            </w:r>
            <w:r>
              <w:rPr>
                <w:sz w:val="20"/>
              </w:rPr>
              <w:t>pupil</w:t>
            </w:r>
            <w:r w:rsidRPr="17B8EB29">
              <w:rPr>
                <w:sz w:val="20"/>
              </w:rPr>
              <w:t xml:space="preserve"> premium funding to deal with non-academic barriers to success.</w:t>
            </w:r>
          </w:p>
          <w:p w14:paraId="1C0BE6A2" w14:textId="77777777" w:rsidR="00996C54" w:rsidRDefault="00996C54" w:rsidP="17B8EB29">
            <w:pPr>
              <w:pStyle w:val="TableRowCentered"/>
              <w:jc w:val="left"/>
              <w:rPr>
                <w:sz w:val="20"/>
              </w:rPr>
            </w:pPr>
          </w:p>
          <w:p w14:paraId="0F9B9CA3" w14:textId="77777777" w:rsidR="00996C54" w:rsidRPr="00F5193E" w:rsidRDefault="00996C54" w:rsidP="17B8EB29">
            <w:pPr>
              <w:pStyle w:val="TableRowCentered"/>
              <w:jc w:val="left"/>
              <w:rPr>
                <w:sz w:val="20"/>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4CD23" w14:textId="77777777" w:rsidR="00996C54" w:rsidRPr="00F5193E" w:rsidRDefault="00000000" w:rsidP="17B8EB29">
            <w:pPr>
              <w:pStyle w:val="TableRowCentered"/>
              <w:jc w:val="left"/>
              <w:rPr>
                <w:sz w:val="20"/>
              </w:rPr>
            </w:pPr>
            <w:r w:rsidRPr="17B8EB29">
              <w:rPr>
                <w:sz w:val="20"/>
              </w:rPr>
              <w:t>1 &amp; 7</w:t>
            </w:r>
          </w:p>
        </w:tc>
      </w:tr>
      <w:tr w:rsidR="00F20C15" w14:paraId="2729BFEE" w14:textId="77777777" w:rsidTr="67963D5F">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D6C30" w14:textId="77777777" w:rsidR="00996C54" w:rsidRPr="00F5193E" w:rsidRDefault="00000000" w:rsidP="17B8EB29">
            <w:pPr>
              <w:pStyle w:val="TableRow"/>
              <w:rPr>
                <w:sz w:val="20"/>
                <w:szCs w:val="20"/>
              </w:rPr>
            </w:pPr>
            <w:r w:rsidRPr="17B8EB29">
              <w:rPr>
                <w:sz w:val="20"/>
                <w:szCs w:val="20"/>
              </w:rPr>
              <w:t xml:space="preserve">Allocation of Pastoral support to develop awareness of needs of pupil premium learners including those facing well-being issues and to provide targeted emotional support.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C6448" w14:textId="77777777" w:rsidR="00996C54" w:rsidRPr="00F5193E" w:rsidRDefault="00000000" w:rsidP="17B8EB29">
            <w:pPr>
              <w:pStyle w:val="TableRowCentered"/>
              <w:jc w:val="left"/>
              <w:rPr>
                <w:sz w:val="20"/>
              </w:rPr>
            </w:pPr>
            <w:r w:rsidRPr="17B8EB29">
              <w:rPr>
                <w:sz w:val="20"/>
              </w:rPr>
              <w:t xml:space="preserve">DfE endorses use of </w:t>
            </w:r>
            <w:r>
              <w:rPr>
                <w:sz w:val="20"/>
              </w:rPr>
              <w:t xml:space="preserve">pupil </w:t>
            </w:r>
            <w:r w:rsidRPr="17B8EB29">
              <w:rPr>
                <w:sz w:val="20"/>
              </w:rPr>
              <w:t>premium funding to deal with non-academic barriers to success, such as behaviour and emotional support.</w:t>
            </w:r>
          </w:p>
          <w:p w14:paraId="29CFC57F" w14:textId="77777777" w:rsidR="00996C54" w:rsidRPr="00F5193E" w:rsidRDefault="00000000" w:rsidP="17B8EB29">
            <w:pPr>
              <w:pStyle w:val="TableRowCentered"/>
              <w:jc w:val="left"/>
              <w:rPr>
                <w:sz w:val="20"/>
              </w:rPr>
            </w:pPr>
            <w:r w:rsidRPr="17B8EB29">
              <w:rPr>
                <w:sz w:val="20"/>
              </w:rPr>
              <w:t>Case studies show positive impact on attendance / well- being for a number of pupils relating to timely, personalised support.</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85A7A" w14:textId="77777777" w:rsidR="00996C54" w:rsidRDefault="00000000" w:rsidP="17B8EB29">
            <w:pPr>
              <w:pStyle w:val="TableRowCentered"/>
              <w:jc w:val="left"/>
              <w:rPr>
                <w:sz w:val="20"/>
              </w:rPr>
            </w:pPr>
            <w:r w:rsidRPr="17B8EB29">
              <w:rPr>
                <w:sz w:val="20"/>
              </w:rPr>
              <w:t>7</w:t>
            </w:r>
          </w:p>
          <w:p w14:paraId="6113BCC8" w14:textId="77777777" w:rsidR="00996C54" w:rsidRDefault="00996C54" w:rsidP="17B8EB29">
            <w:pPr>
              <w:pStyle w:val="TableRowCentered"/>
              <w:jc w:val="left"/>
              <w:rPr>
                <w:sz w:val="20"/>
              </w:rPr>
            </w:pPr>
          </w:p>
          <w:p w14:paraId="4D3E22EA" w14:textId="77777777" w:rsidR="00996C54" w:rsidRDefault="00996C54" w:rsidP="17B8EB29">
            <w:pPr>
              <w:pStyle w:val="TableRowCentered"/>
              <w:jc w:val="left"/>
              <w:rPr>
                <w:sz w:val="20"/>
              </w:rPr>
            </w:pPr>
          </w:p>
          <w:p w14:paraId="63CE582D" w14:textId="77777777" w:rsidR="00996C54" w:rsidRDefault="00996C54" w:rsidP="17B8EB29">
            <w:pPr>
              <w:pStyle w:val="TableRowCentered"/>
              <w:jc w:val="left"/>
              <w:rPr>
                <w:sz w:val="20"/>
              </w:rPr>
            </w:pPr>
          </w:p>
          <w:p w14:paraId="7E19A922" w14:textId="77777777" w:rsidR="00996C54" w:rsidRDefault="00996C54" w:rsidP="17B8EB29">
            <w:pPr>
              <w:pStyle w:val="TableRowCentered"/>
              <w:jc w:val="left"/>
              <w:rPr>
                <w:sz w:val="20"/>
              </w:rPr>
            </w:pPr>
          </w:p>
          <w:p w14:paraId="397A880B" w14:textId="77777777" w:rsidR="00996C54" w:rsidRDefault="00996C54" w:rsidP="17B8EB29">
            <w:pPr>
              <w:pStyle w:val="TableRowCentered"/>
              <w:jc w:val="left"/>
              <w:rPr>
                <w:sz w:val="20"/>
              </w:rPr>
            </w:pPr>
          </w:p>
          <w:p w14:paraId="2CC1F03B" w14:textId="77777777" w:rsidR="00996C54" w:rsidRPr="00F5193E" w:rsidRDefault="00996C54" w:rsidP="17B8EB29">
            <w:pPr>
              <w:pStyle w:val="TableRowCentered"/>
              <w:ind w:left="0"/>
              <w:jc w:val="left"/>
              <w:rPr>
                <w:sz w:val="20"/>
              </w:rPr>
            </w:pPr>
          </w:p>
        </w:tc>
      </w:tr>
      <w:tr w:rsidR="00F20C15" w14:paraId="101736A2" w14:textId="77777777" w:rsidTr="67963D5F">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2744D" w14:textId="77777777" w:rsidR="00996C54" w:rsidRPr="00F5193E" w:rsidRDefault="00000000" w:rsidP="17B8EB29">
            <w:pPr>
              <w:suppressAutoHyphens w:val="0"/>
              <w:autoSpaceDE w:val="0"/>
              <w:adjustRightInd w:val="0"/>
              <w:spacing w:after="0" w:line="240" w:lineRule="auto"/>
              <w:rPr>
                <w:rFonts w:cs="Arial"/>
                <w:sz w:val="20"/>
                <w:szCs w:val="20"/>
              </w:rPr>
            </w:pPr>
            <w:r w:rsidRPr="17B8EB29">
              <w:rPr>
                <w:rFonts w:cs="Arial"/>
                <w:sz w:val="20"/>
                <w:szCs w:val="20"/>
              </w:rPr>
              <w:t>Provide pupils with the</w:t>
            </w:r>
          </w:p>
          <w:p w14:paraId="54F46AD0" w14:textId="77777777" w:rsidR="00996C54" w:rsidRDefault="00000000" w:rsidP="17B8EB29">
            <w:pPr>
              <w:suppressAutoHyphens w:val="0"/>
              <w:autoSpaceDE w:val="0"/>
              <w:adjustRightInd w:val="0"/>
              <w:spacing w:after="0" w:line="240" w:lineRule="auto"/>
              <w:rPr>
                <w:rFonts w:cs="Arial"/>
                <w:sz w:val="20"/>
                <w:szCs w:val="20"/>
              </w:rPr>
            </w:pPr>
            <w:r w:rsidRPr="17B8EB29">
              <w:rPr>
                <w:rFonts w:cs="Arial"/>
                <w:sz w:val="20"/>
                <w:szCs w:val="20"/>
              </w:rPr>
              <w:t xml:space="preserve">opportunities to </w:t>
            </w:r>
          </w:p>
          <w:p w14:paraId="3FB29A49" w14:textId="77777777" w:rsidR="00996C54" w:rsidRDefault="00000000" w:rsidP="17B8EB29">
            <w:pPr>
              <w:suppressAutoHyphens w:val="0"/>
              <w:autoSpaceDE w:val="0"/>
              <w:adjustRightInd w:val="0"/>
              <w:spacing w:after="0" w:line="240" w:lineRule="auto"/>
              <w:rPr>
                <w:rFonts w:cs="Arial"/>
                <w:sz w:val="20"/>
                <w:szCs w:val="20"/>
              </w:rPr>
            </w:pPr>
            <w:r w:rsidRPr="17B8EB29">
              <w:rPr>
                <w:rFonts w:cs="Arial"/>
                <w:sz w:val="20"/>
                <w:szCs w:val="20"/>
              </w:rPr>
              <w:t xml:space="preserve">participate in </w:t>
            </w:r>
          </w:p>
          <w:p w14:paraId="41D5AB80" w14:textId="77777777" w:rsidR="00996C54" w:rsidRPr="00F5193E" w:rsidRDefault="00000000" w:rsidP="17B8EB29">
            <w:pPr>
              <w:suppressAutoHyphens w:val="0"/>
              <w:autoSpaceDE w:val="0"/>
              <w:adjustRightInd w:val="0"/>
              <w:spacing w:after="0" w:line="240" w:lineRule="auto"/>
              <w:rPr>
                <w:rFonts w:cs="Arial"/>
                <w:sz w:val="20"/>
                <w:szCs w:val="20"/>
              </w:rPr>
            </w:pPr>
            <w:r w:rsidRPr="17B8EB29">
              <w:rPr>
                <w:rFonts w:cs="Arial"/>
                <w:sz w:val="20"/>
                <w:szCs w:val="20"/>
              </w:rPr>
              <w:t>enrichment</w:t>
            </w:r>
          </w:p>
          <w:p w14:paraId="3D212431" w14:textId="77777777" w:rsidR="00996C54" w:rsidRPr="00F5193E" w:rsidRDefault="00000000" w:rsidP="17B8EB29">
            <w:pPr>
              <w:suppressAutoHyphens w:val="0"/>
              <w:autoSpaceDE w:val="0"/>
              <w:adjustRightInd w:val="0"/>
              <w:spacing w:after="0" w:line="240" w:lineRule="auto"/>
              <w:rPr>
                <w:rFonts w:cs="Arial"/>
                <w:sz w:val="20"/>
                <w:szCs w:val="20"/>
              </w:rPr>
            </w:pPr>
            <w:r w:rsidRPr="17B8EB29">
              <w:rPr>
                <w:rFonts w:cs="Arial"/>
                <w:sz w:val="20"/>
                <w:szCs w:val="20"/>
              </w:rPr>
              <w:t>opportunities such as</w:t>
            </w:r>
          </w:p>
          <w:p w14:paraId="3B764BB6" w14:textId="77777777" w:rsidR="00996C54" w:rsidRPr="00BF6E0E" w:rsidRDefault="00000000" w:rsidP="17B8EB29">
            <w:pPr>
              <w:suppressAutoHyphens w:val="0"/>
              <w:autoSpaceDE w:val="0"/>
              <w:adjustRightInd w:val="0"/>
              <w:spacing w:after="0" w:line="240" w:lineRule="auto"/>
              <w:rPr>
                <w:rFonts w:cs="Arial"/>
                <w:color w:val="F79646"/>
                <w:sz w:val="20"/>
                <w:szCs w:val="20"/>
              </w:rPr>
            </w:pPr>
            <w:r w:rsidRPr="17B8EB29">
              <w:rPr>
                <w:rFonts w:cs="Arial"/>
                <w:sz w:val="20"/>
                <w:szCs w:val="20"/>
              </w:rPr>
              <w:t>subsidised school visits and extra-curricular clubs / enrichment opportunities.</w:t>
            </w:r>
            <w:r>
              <w:br/>
            </w:r>
          </w:p>
          <w:p w14:paraId="44434BC6" w14:textId="77777777" w:rsidR="00996C54" w:rsidRPr="00E00570" w:rsidRDefault="00996C54" w:rsidP="17B8EB29">
            <w:pPr>
              <w:suppressAutoHyphens w:val="0"/>
              <w:autoSpaceDE w:val="0"/>
              <w:adjustRightInd w:val="0"/>
              <w:spacing w:after="0" w:line="240" w:lineRule="auto"/>
              <w:rPr>
                <w:rFonts w:cs="Arial"/>
                <w:sz w:val="20"/>
                <w:szCs w:val="20"/>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ECFC8" w14:textId="77777777" w:rsidR="00996C54" w:rsidRDefault="00000000" w:rsidP="17B8EB29">
            <w:pPr>
              <w:suppressAutoHyphens w:val="0"/>
              <w:autoSpaceDE w:val="0"/>
              <w:adjustRightInd w:val="0"/>
              <w:spacing w:after="0" w:line="240" w:lineRule="auto"/>
              <w:rPr>
                <w:rFonts w:cs="Arial"/>
                <w:sz w:val="20"/>
                <w:szCs w:val="20"/>
              </w:rPr>
            </w:pPr>
            <w:r w:rsidRPr="17B8EB29">
              <w:rPr>
                <w:rFonts w:cs="Arial"/>
                <w:sz w:val="20"/>
                <w:szCs w:val="20"/>
              </w:rPr>
              <w:t>Evidence: Sutton Trust-</w:t>
            </w:r>
          </w:p>
          <w:p w14:paraId="0736183B" w14:textId="77777777" w:rsidR="00996C54" w:rsidRDefault="00000000" w:rsidP="17B8EB29">
            <w:pPr>
              <w:suppressAutoHyphens w:val="0"/>
              <w:autoSpaceDE w:val="0"/>
              <w:adjustRightInd w:val="0"/>
              <w:spacing w:after="0" w:line="240" w:lineRule="auto"/>
              <w:rPr>
                <w:rFonts w:cs="Arial"/>
                <w:sz w:val="20"/>
                <w:szCs w:val="20"/>
              </w:rPr>
            </w:pPr>
            <w:r w:rsidRPr="17B8EB29">
              <w:rPr>
                <w:rFonts w:cs="Arial"/>
                <w:sz w:val="20"/>
                <w:szCs w:val="20"/>
              </w:rPr>
              <w:t>School Uniform +Arts Participation.</w:t>
            </w:r>
          </w:p>
          <w:p w14:paraId="414C4A7A" w14:textId="77777777" w:rsidR="00996C54" w:rsidRDefault="00996C54" w:rsidP="17B8EB29">
            <w:pPr>
              <w:suppressAutoHyphens w:val="0"/>
              <w:autoSpaceDE w:val="0"/>
              <w:adjustRightInd w:val="0"/>
              <w:spacing w:after="0" w:line="240" w:lineRule="auto"/>
              <w:rPr>
                <w:rFonts w:cs="Arial"/>
                <w:sz w:val="20"/>
                <w:szCs w:val="20"/>
              </w:rPr>
            </w:pPr>
          </w:p>
          <w:p w14:paraId="26D20942" w14:textId="77777777" w:rsidR="00996C54" w:rsidRPr="00F5193E" w:rsidRDefault="00000000" w:rsidP="004738F2">
            <w:pPr>
              <w:suppressAutoHyphens w:val="0"/>
              <w:autoSpaceDE w:val="0"/>
              <w:adjustRightInd w:val="0"/>
              <w:spacing w:after="0" w:line="240" w:lineRule="auto"/>
              <w:rPr>
                <w:sz w:val="20"/>
                <w:szCs w:val="20"/>
              </w:rPr>
            </w:pPr>
            <w:r w:rsidRPr="004738F2">
              <w:rPr>
                <w:rFonts w:cs="Arial"/>
                <w:i/>
                <w:iCs/>
                <w:color w:val="auto"/>
                <w:sz w:val="20"/>
                <w:szCs w:val="20"/>
              </w:rPr>
              <w:t>June 23 ofsted: They benefit from extracurricular activities and trips, including theatre visits and trips to local areas of interest linked to their learning</w:t>
            </w:r>
            <w:r w:rsidRPr="004738F2">
              <w:rPr>
                <w:rFonts w:cs="Arial"/>
                <w:color w:val="F79646"/>
                <w:sz w:val="20"/>
                <w:szCs w:val="20"/>
              </w:rPr>
              <w:t>.</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9E1C5" w14:textId="77777777" w:rsidR="00996C54" w:rsidRPr="0054304F" w:rsidRDefault="00000000" w:rsidP="00F20C15">
            <w:pPr>
              <w:pStyle w:val="TableRowCentered"/>
              <w:jc w:val="left"/>
              <w:rPr>
                <w:sz w:val="20"/>
              </w:rPr>
            </w:pPr>
            <w:r w:rsidRPr="0054304F">
              <w:rPr>
                <w:sz w:val="20"/>
              </w:rPr>
              <w:t>8</w:t>
            </w:r>
          </w:p>
        </w:tc>
      </w:tr>
      <w:tr w:rsidR="00E00570" w14:paraId="60B25F20" w14:textId="77777777" w:rsidTr="67963D5F">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7A630" w14:textId="77777777" w:rsidR="00996C54" w:rsidRDefault="00000000" w:rsidP="17B8EB29">
            <w:pPr>
              <w:autoSpaceDN/>
              <w:spacing w:before="60" w:after="60" w:line="240" w:lineRule="auto"/>
              <w:ind w:left="29" w:right="57"/>
              <w:rPr>
                <w:color w:val="auto"/>
                <w:sz w:val="20"/>
                <w:szCs w:val="20"/>
                <w:lang w:val="en-US"/>
              </w:rPr>
            </w:pPr>
            <w:r w:rsidRPr="17B8EB29">
              <w:rPr>
                <w:color w:val="auto"/>
                <w:sz w:val="20"/>
                <w:szCs w:val="20"/>
                <w:lang w:val="en-US"/>
              </w:rPr>
              <w:t>Contingency fund for acute issues.</w:t>
            </w:r>
          </w:p>
          <w:p w14:paraId="05CF6844" w14:textId="77777777" w:rsidR="00996C54" w:rsidRPr="00E27862" w:rsidRDefault="00000000" w:rsidP="306CC4B9">
            <w:pPr>
              <w:autoSpaceDN/>
              <w:spacing w:before="60" w:after="0" w:line="240" w:lineRule="auto"/>
              <w:rPr>
                <w:color w:val="auto"/>
                <w:sz w:val="20"/>
                <w:szCs w:val="20"/>
                <w:lang w:val="en-US"/>
              </w:rPr>
            </w:pPr>
            <w:r w:rsidRPr="306CC4B9">
              <w:rPr>
                <w:rFonts w:cs="Arial"/>
                <w:sz w:val="20"/>
                <w:szCs w:val="20"/>
              </w:rPr>
              <w:t>Support families (including those new to school or not meeting entitlement criteria) with school uniform purchase costs and provision of other resources as appropriate.</w:t>
            </w:r>
          </w:p>
          <w:p w14:paraId="00DFB09B" w14:textId="77777777" w:rsidR="00996C54" w:rsidRPr="00F5193E" w:rsidRDefault="00996C54" w:rsidP="17B8EB29">
            <w:pPr>
              <w:suppressAutoHyphens w:val="0"/>
              <w:autoSpaceDE w:val="0"/>
              <w:adjustRightInd w:val="0"/>
              <w:spacing w:after="0" w:line="240" w:lineRule="auto"/>
              <w:rPr>
                <w:rFonts w:cs="Arial"/>
                <w:sz w:val="20"/>
                <w:szCs w:val="20"/>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6CAC1" w14:textId="77777777" w:rsidR="00996C54" w:rsidRDefault="00000000" w:rsidP="17B8EB29">
            <w:pPr>
              <w:suppressAutoHyphens w:val="0"/>
              <w:autoSpaceDE w:val="0"/>
              <w:adjustRightInd w:val="0"/>
              <w:spacing w:after="0" w:line="240" w:lineRule="auto"/>
              <w:rPr>
                <w:rFonts w:cs="Arial"/>
                <w:sz w:val="20"/>
                <w:szCs w:val="20"/>
              </w:rPr>
            </w:pPr>
            <w:r w:rsidRPr="67963D5F">
              <w:rPr>
                <w:rFonts w:cs="Arial"/>
                <w:sz w:val="20"/>
                <w:szCs w:val="20"/>
              </w:rPr>
              <w:t xml:space="preserve">The cost-of-living crisis has meant </w:t>
            </w:r>
          </w:p>
          <w:p w14:paraId="6E1D1A8A" w14:textId="77777777" w:rsidR="00996C54" w:rsidRDefault="00000000" w:rsidP="17B8EB29">
            <w:pPr>
              <w:pStyle w:val="TableRowCentered"/>
              <w:jc w:val="left"/>
              <w:rPr>
                <w:rFonts w:cs="Arial"/>
                <w:sz w:val="20"/>
              </w:rPr>
            </w:pPr>
            <w:r w:rsidRPr="17B8EB29">
              <w:rPr>
                <w:rFonts w:cs="Arial"/>
                <w:sz w:val="20"/>
              </w:rPr>
              <w:t>increased take up of support offer.</w:t>
            </w:r>
          </w:p>
          <w:p w14:paraId="6D900FF6" w14:textId="77777777" w:rsidR="00996C54" w:rsidRDefault="00000000" w:rsidP="17B8EB29">
            <w:pPr>
              <w:pStyle w:val="TableRowCentered"/>
              <w:jc w:val="left"/>
              <w:rPr>
                <w:color w:val="auto"/>
                <w:sz w:val="20"/>
              </w:rPr>
            </w:pPr>
            <w:r w:rsidRPr="17B8EB29">
              <w:rPr>
                <w:color w:val="auto"/>
                <w:sz w:val="20"/>
              </w:rPr>
              <w:t>Based on our experiences and those of similar schools to ours, we have identified a need to set a small amount of funding aside to respond quickly to needs that have not yet been identified.</w:t>
            </w:r>
          </w:p>
          <w:p w14:paraId="4AC14149" w14:textId="77777777" w:rsidR="00996C54" w:rsidRDefault="00996C54" w:rsidP="17B8EB29">
            <w:pPr>
              <w:pStyle w:val="TableRowCentered"/>
              <w:jc w:val="left"/>
              <w:rPr>
                <w:color w:val="auto"/>
                <w:sz w:val="20"/>
              </w:rPr>
            </w:pPr>
          </w:p>
          <w:p w14:paraId="72F25D2A" w14:textId="77777777" w:rsidR="00996C54" w:rsidRPr="00F5193E" w:rsidRDefault="00000000" w:rsidP="17B8EB29">
            <w:pPr>
              <w:pStyle w:val="TableRowCentered"/>
              <w:jc w:val="left"/>
              <w:rPr>
                <w:color w:val="auto"/>
                <w:sz w:val="20"/>
              </w:rPr>
            </w:pPr>
            <w:r w:rsidRPr="17B8EB29">
              <w:rPr>
                <w:color w:val="auto"/>
                <w:sz w:val="20"/>
              </w:rPr>
              <w:t xml:space="preserve">Children that have correct uniform identify with peers, integrate well and have higher self-esteem.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D17AE" w14:textId="77777777" w:rsidR="00996C54" w:rsidRPr="0054304F" w:rsidRDefault="00000000" w:rsidP="00E00570">
            <w:pPr>
              <w:pStyle w:val="TableRowCentered"/>
              <w:jc w:val="left"/>
              <w:rPr>
                <w:sz w:val="20"/>
              </w:rPr>
            </w:pPr>
            <w:r w:rsidRPr="0054304F">
              <w:rPr>
                <w:color w:val="auto"/>
                <w:sz w:val="20"/>
              </w:rPr>
              <w:t xml:space="preserve">7 &amp; 8 </w:t>
            </w:r>
          </w:p>
        </w:tc>
      </w:tr>
    </w:tbl>
    <w:p w14:paraId="35F84490" w14:textId="77777777" w:rsidR="00996C54" w:rsidRDefault="00996C54">
      <w:pPr>
        <w:spacing w:before="240" w:after="0"/>
        <w:rPr>
          <w:b/>
          <w:bCs/>
          <w:color w:val="104F75"/>
          <w:sz w:val="28"/>
          <w:szCs w:val="28"/>
        </w:rPr>
      </w:pPr>
    </w:p>
    <w:p w14:paraId="106B1E69" w14:textId="77777777" w:rsidR="00996C54" w:rsidRPr="000E7160" w:rsidRDefault="00000000" w:rsidP="00120AB1">
      <w:r w:rsidRPr="00303754">
        <w:rPr>
          <w:color w:val="104F75"/>
          <w:sz w:val="28"/>
          <w:szCs w:val="28"/>
        </w:rPr>
        <w:t>Total budgeted cost:</w:t>
      </w:r>
      <w:r w:rsidRPr="17B8EB29">
        <w:rPr>
          <w:color w:val="104F75"/>
          <w:sz w:val="28"/>
          <w:szCs w:val="28"/>
        </w:rPr>
        <w:t xml:space="preserve"> </w:t>
      </w:r>
      <w:r>
        <w:rPr>
          <w:color w:val="104F75"/>
          <w:sz w:val="28"/>
          <w:szCs w:val="28"/>
        </w:rPr>
        <w:t>£144,338</w:t>
      </w:r>
    </w:p>
    <w:p w14:paraId="787A4A4E" w14:textId="77777777" w:rsidR="00996C54" w:rsidRDefault="00000000" w:rsidP="008E7456">
      <w:pPr>
        <w:pStyle w:val="Heading1"/>
      </w:pPr>
      <w:r>
        <w:lastRenderedPageBreak/>
        <w:t>Part B: Review of the previous academic year</w:t>
      </w:r>
      <w:r>
        <w:br/>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E66558" w14:paraId="062281E8" w14:textId="77777777" w:rsidTr="67963D5F">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179F7" w14:textId="417B905D" w:rsidR="00996C54" w:rsidRPr="007310A6" w:rsidRDefault="00000000" w:rsidP="00147B02">
            <w:pPr>
              <w:autoSpaceDN/>
              <w:spacing w:before="120"/>
              <w:rPr>
                <w:rFonts w:cs="Arial"/>
                <w:color w:val="auto"/>
                <w:lang w:eastAsia="en-US"/>
              </w:rPr>
            </w:pPr>
            <w:r w:rsidRPr="007310A6">
              <w:rPr>
                <w:rFonts w:cs="Arial"/>
                <w:color w:val="auto"/>
                <w:lang w:eastAsia="en-US"/>
              </w:rPr>
              <w:t>We have analysed the performance of our school’s disadvantaged pupils during the 202</w:t>
            </w:r>
            <w:r>
              <w:rPr>
                <w:rFonts w:cs="Arial"/>
                <w:color w:val="auto"/>
                <w:lang w:eastAsia="en-US"/>
              </w:rPr>
              <w:t>4</w:t>
            </w:r>
            <w:r w:rsidRPr="007310A6">
              <w:rPr>
                <w:rFonts w:cs="Arial"/>
                <w:color w:val="auto"/>
                <w:lang w:eastAsia="en-US"/>
              </w:rPr>
              <w:t>-202</w:t>
            </w:r>
            <w:r>
              <w:rPr>
                <w:rFonts w:cs="Arial"/>
                <w:color w:val="auto"/>
                <w:lang w:eastAsia="en-US"/>
              </w:rPr>
              <w:t>5</w:t>
            </w:r>
            <w:r w:rsidRPr="007310A6">
              <w:rPr>
                <w:rFonts w:cs="Arial"/>
                <w:color w:val="auto"/>
                <w:lang w:eastAsia="en-US"/>
              </w:rPr>
              <w:t xml:space="preserve"> academic year using attendance data, </w:t>
            </w:r>
            <w:r w:rsidR="0054304F">
              <w:rPr>
                <w:rFonts w:cs="Arial"/>
                <w:color w:val="auto"/>
                <w:lang w:eastAsia="en-US"/>
              </w:rPr>
              <w:t xml:space="preserve">EYFS, </w:t>
            </w:r>
            <w:r w:rsidRPr="007310A6">
              <w:rPr>
                <w:rFonts w:cs="Arial"/>
                <w:color w:val="auto"/>
                <w:lang w:eastAsia="en-US"/>
              </w:rPr>
              <w:t>key stage 1 and 2 performance data, phonics check results and our own internal assessments.</w:t>
            </w:r>
          </w:p>
          <w:p w14:paraId="3030B44D" w14:textId="77777777" w:rsidR="00996C54" w:rsidRDefault="00000000" w:rsidP="00147B02">
            <w:pPr>
              <w:autoSpaceDN/>
              <w:spacing w:before="120"/>
              <w:rPr>
                <w:color w:val="auto"/>
                <w:lang w:eastAsia="en-US"/>
              </w:rPr>
            </w:pPr>
            <w:r w:rsidRPr="007310A6">
              <w:rPr>
                <w:color w:val="auto"/>
                <w:lang w:eastAsia="en-US"/>
              </w:rPr>
              <w:t xml:space="preserve">To help us gauge the performance of our disadvantaged pupils we compared our </w:t>
            </w:r>
            <w:r>
              <w:rPr>
                <w:color w:val="auto"/>
                <w:lang w:eastAsia="en-US"/>
              </w:rPr>
              <w:t>results</w:t>
            </w:r>
            <w:r w:rsidRPr="007310A6">
              <w:rPr>
                <w:color w:val="auto"/>
                <w:lang w:eastAsia="en-US"/>
              </w:rPr>
              <w:t xml:space="preserve"> to those for pupils at a national level. </w:t>
            </w:r>
          </w:p>
          <w:tbl>
            <w:tblPr>
              <w:tblStyle w:val="TableGrid"/>
              <w:tblW w:w="0" w:type="auto"/>
              <w:tblLook w:val="04A0" w:firstRow="1" w:lastRow="0" w:firstColumn="1" w:lastColumn="0" w:noHBand="0" w:noVBand="1"/>
            </w:tblPr>
            <w:tblGrid>
              <w:gridCol w:w="1159"/>
              <w:gridCol w:w="1158"/>
              <w:gridCol w:w="1159"/>
              <w:gridCol w:w="1163"/>
              <w:gridCol w:w="1157"/>
              <w:gridCol w:w="1157"/>
              <w:gridCol w:w="1157"/>
              <w:gridCol w:w="1157"/>
            </w:tblGrid>
            <w:tr w:rsidR="004A1329" w:rsidRPr="007310A6" w14:paraId="0CC8FA42" w14:textId="77777777" w:rsidTr="004A1329">
              <w:trPr>
                <w:trHeight w:val="646"/>
              </w:trPr>
              <w:tc>
                <w:tcPr>
                  <w:tcW w:w="1159" w:type="dxa"/>
                  <w:vMerge w:val="restart"/>
                  <w:shd w:val="clear" w:color="auto" w:fill="D6E3BC" w:themeFill="accent3" w:themeFillTint="66"/>
                </w:tcPr>
                <w:p w14:paraId="5781B0F5" w14:textId="77777777" w:rsidR="00996C54" w:rsidRPr="007310A6" w:rsidRDefault="00000000" w:rsidP="004A1329">
                  <w:pPr>
                    <w:autoSpaceDN/>
                    <w:rPr>
                      <w:b/>
                      <w:bCs/>
                      <w:color w:val="auto"/>
                      <w:lang w:eastAsia="en-US"/>
                    </w:rPr>
                  </w:pPr>
                  <w:r w:rsidRPr="007310A6">
                    <w:rPr>
                      <w:b/>
                      <w:bCs/>
                      <w:color w:val="auto"/>
                      <w:lang w:eastAsia="en-US"/>
                    </w:rPr>
                    <w:t>2024-2025</w:t>
                  </w:r>
                </w:p>
              </w:tc>
              <w:tc>
                <w:tcPr>
                  <w:tcW w:w="1158" w:type="dxa"/>
                  <w:vMerge w:val="restart"/>
                  <w:shd w:val="clear" w:color="auto" w:fill="D6E3BC" w:themeFill="accent3" w:themeFillTint="66"/>
                </w:tcPr>
                <w:p w14:paraId="256E8FAE" w14:textId="77777777" w:rsidR="00996C54" w:rsidRPr="007310A6" w:rsidRDefault="00000000" w:rsidP="004A1329">
                  <w:pPr>
                    <w:autoSpaceDN/>
                    <w:rPr>
                      <w:b/>
                      <w:bCs/>
                      <w:color w:val="auto"/>
                      <w:lang w:eastAsia="en-US"/>
                    </w:rPr>
                  </w:pPr>
                  <w:r w:rsidRPr="007310A6">
                    <w:rPr>
                      <w:b/>
                      <w:bCs/>
                      <w:color w:val="auto"/>
                      <w:lang w:eastAsia="en-US"/>
                    </w:rPr>
                    <w:t>GLD</w:t>
                  </w:r>
                </w:p>
              </w:tc>
              <w:tc>
                <w:tcPr>
                  <w:tcW w:w="1159" w:type="dxa"/>
                  <w:vMerge w:val="restart"/>
                  <w:shd w:val="clear" w:color="auto" w:fill="D6E3BC" w:themeFill="accent3" w:themeFillTint="66"/>
                </w:tcPr>
                <w:p w14:paraId="1D8AD689" w14:textId="77777777" w:rsidR="00996C54" w:rsidRPr="007310A6" w:rsidRDefault="00000000" w:rsidP="004A1329">
                  <w:pPr>
                    <w:autoSpaceDN/>
                    <w:rPr>
                      <w:b/>
                      <w:bCs/>
                      <w:color w:val="auto"/>
                      <w:lang w:eastAsia="en-US"/>
                    </w:rPr>
                  </w:pPr>
                  <w:r w:rsidRPr="007310A6">
                    <w:rPr>
                      <w:b/>
                      <w:bCs/>
                      <w:color w:val="auto"/>
                      <w:lang w:eastAsia="en-US"/>
                    </w:rPr>
                    <w:t>Phonics Y1</w:t>
                  </w:r>
                </w:p>
              </w:tc>
              <w:tc>
                <w:tcPr>
                  <w:tcW w:w="1163" w:type="dxa"/>
                  <w:vMerge w:val="restart"/>
                  <w:shd w:val="clear" w:color="auto" w:fill="D6E3BC" w:themeFill="accent3" w:themeFillTint="66"/>
                </w:tcPr>
                <w:p w14:paraId="725514D1" w14:textId="77777777" w:rsidR="00996C54" w:rsidRPr="007310A6" w:rsidRDefault="00000000" w:rsidP="004A1329">
                  <w:pPr>
                    <w:autoSpaceDN/>
                    <w:rPr>
                      <w:b/>
                      <w:bCs/>
                      <w:color w:val="auto"/>
                      <w:lang w:eastAsia="en-US"/>
                    </w:rPr>
                  </w:pPr>
                  <w:r w:rsidRPr="007310A6">
                    <w:rPr>
                      <w:b/>
                      <w:bCs/>
                      <w:color w:val="auto"/>
                      <w:lang w:eastAsia="en-US"/>
                    </w:rPr>
                    <w:t>MTC</w:t>
                  </w:r>
                  <w:r>
                    <w:rPr>
                      <w:b/>
                      <w:color w:val="auto"/>
                    </w:rPr>
                    <w:br/>
                    <w:t>(scoring 25)</w:t>
                  </w:r>
                </w:p>
              </w:tc>
              <w:tc>
                <w:tcPr>
                  <w:tcW w:w="4628" w:type="dxa"/>
                  <w:gridSpan w:val="4"/>
                  <w:shd w:val="clear" w:color="auto" w:fill="D6E3BC" w:themeFill="accent3" w:themeFillTint="66"/>
                </w:tcPr>
                <w:p w14:paraId="450C87F7" w14:textId="77777777" w:rsidR="00996C54" w:rsidRPr="007310A6" w:rsidRDefault="00000000" w:rsidP="004A1329">
                  <w:pPr>
                    <w:autoSpaceDN/>
                    <w:jc w:val="center"/>
                    <w:rPr>
                      <w:b/>
                      <w:bCs/>
                      <w:color w:val="auto"/>
                      <w:lang w:eastAsia="en-US"/>
                    </w:rPr>
                  </w:pPr>
                  <w:r w:rsidRPr="007310A6">
                    <w:rPr>
                      <w:b/>
                      <w:bCs/>
                      <w:color w:val="auto"/>
                      <w:lang w:eastAsia="en-US"/>
                    </w:rPr>
                    <w:t>KS2</w:t>
                  </w:r>
                </w:p>
              </w:tc>
            </w:tr>
            <w:tr w:rsidR="004A1329" w:rsidRPr="007310A6" w14:paraId="32B5142A" w14:textId="77777777" w:rsidTr="004A1329">
              <w:trPr>
                <w:trHeight w:val="579"/>
              </w:trPr>
              <w:tc>
                <w:tcPr>
                  <w:tcW w:w="0" w:type="auto"/>
                  <w:vMerge/>
                </w:tcPr>
                <w:p w14:paraId="15355C31" w14:textId="77777777" w:rsidR="00917120" w:rsidRDefault="00917120"/>
              </w:tc>
              <w:tc>
                <w:tcPr>
                  <w:tcW w:w="0" w:type="auto"/>
                  <w:vMerge/>
                </w:tcPr>
                <w:p w14:paraId="3B1E8FB4" w14:textId="77777777" w:rsidR="00917120" w:rsidRDefault="00917120"/>
              </w:tc>
              <w:tc>
                <w:tcPr>
                  <w:tcW w:w="0" w:type="auto"/>
                  <w:vMerge/>
                </w:tcPr>
                <w:p w14:paraId="1E7BC64F" w14:textId="77777777" w:rsidR="00917120" w:rsidRDefault="00917120"/>
              </w:tc>
              <w:tc>
                <w:tcPr>
                  <w:tcW w:w="0" w:type="auto"/>
                  <w:vMerge/>
                </w:tcPr>
                <w:p w14:paraId="0D7376FB" w14:textId="77777777" w:rsidR="00917120" w:rsidRDefault="00917120"/>
              </w:tc>
              <w:tc>
                <w:tcPr>
                  <w:tcW w:w="1157" w:type="dxa"/>
                  <w:shd w:val="clear" w:color="auto" w:fill="EAF1DD" w:themeFill="accent3" w:themeFillTint="33"/>
                </w:tcPr>
                <w:p w14:paraId="21A82A17" w14:textId="77777777" w:rsidR="00996C54" w:rsidRPr="007310A6" w:rsidRDefault="00000000" w:rsidP="004A1329">
                  <w:pPr>
                    <w:autoSpaceDN/>
                    <w:jc w:val="center"/>
                    <w:rPr>
                      <w:b/>
                      <w:bCs/>
                      <w:color w:val="auto"/>
                      <w:lang w:eastAsia="en-US"/>
                    </w:rPr>
                  </w:pPr>
                  <w:r w:rsidRPr="007310A6">
                    <w:rPr>
                      <w:b/>
                      <w:bCs/>
                      <w:color w:val="auto"/>
                      <w:lang w:eastAsia="en-US"/>
                    </w:rPr>
                    <w:t>R</w:t>
                  </w:r>
                </w:p>
              </w:tc>
              <w:tc>
                <w:tcPr>
                  <w:tcW w:w="1157" w:type="dxa"/>
                  <w:shd w:val="clear" w:color="auto" w:fill="EAF1DD" w:themeFill="accent3" w:themeFillTint="33"/>
                </w:tcPr>
                <w:p w14:paraId="4B6382F4" w14:textId="77777777" w:rsidR="00996C54" w:rsidRPr="007310A6" w:rsidRDefault="00000000" w:rsidP="004A1329">
                  <w:pPr>
                    <w:autoSpaceDN/>
                    <w:jc w:val="center"/>
                    <w:rPr>
                      <w:b/>
                      <w:bCs/>
                      <w:color w:val="auto"/>
                      <w:lang w:eastAsia="en-US"/>
                    </w:rPr>
                  </w:pPr>
                  <w:r w:rsidRPr="007310A6">
                    <w:rPr>
                      <w:b/>
                      <w:bCs/>
                      <w:color w:val="auto"/>
                      <w:lang w:eastAsia="en-US"/>
                    </w:rPr>
                    <w:t>W</w:t>
                  </w:r>
                </w:p>
              </w:tc>
              <w:tc>
                <w:tcPr>
                  <w:tcW w:w="1157" w:type="dxa"/>
                  <w:shd w:val="clear" w:color="auto" w:fill="EAF1DD" w:themeFill="accent3" w:themeFillTint="33"/>
                </w:tcPr>
                <w:p w14:paraId="43A3B93C" w14:textId="77777777" w:rsidR="00996C54" w:rsidRPr="007310A6" w:rsidRDefault="00000000" w:rsidP="004A1329">
                  <w:pPr>
                    <w:autoSpaceDN/>
                    <w:jc w:val="center"/>
                    <w:rPr>
                      <w:b/>
                      <w:bCs/>
                      <w:color w:val="auto"/>
                      <w:lang w:eastAsia="en-US"/>
                    </w:rPr>
                  </w:pPr>
                  <w:r w:rsidRPr="007310A6">
                    <w:rPr>
                      <w:b/>
                      <w:bCs/>
                      <w:color w:val="auto"/>
                      <w:lang w:eastAsia="en-US"/>
                    </w:rPr>
                    <w:t>M</w:t>
                  </w:r>
                </w:p>
              </w:tc>
              <w:tc>
                <w:tcPr>
                  <w:tcW w:w="1157" w:type="dxa"/>
                  <w:shd w:val="clear" w:color="auto" w:fill="EAF1DD" w:themeFill="accent3" w:themeFillTint="33"/>
                </w:tcPr>
                <w:p w14:paraId="7B061087" w14:textId="77777777" w:rsidR="00996C54" w:rsidRPr="007310A6" w:rsidRDefault="00000000" w:rsidP="004A1329">
                  <w:pPr>
                    <w:autoSpaceDN/>
                    <w:jc w:val="center"/>
                    <w:rPr>
                      <w:b/>
                      <w:bCs/>
                      <w:color w:val="auto"/>
                      <w:lang w:eastAsia="en-US"/>
                    </w:rPr>
                  </w:pPr>
                  <w:r w:rsidRPr="007310A6">
                    <w:rPr>
                      <w:b/>
                      <w:bCs/>
                      <w:color w:val="auto"/>
                      <w:lang w:eastAsia="en-US"/>
                    </w:rPr>
                    <w:t>Co</w:t>
                  </w:r>
                </w:p>
              </w:tc>
            </w:tr>
            <w:tr w:rsidR="004A1329" w:rsidRPr="007310A6" w14:paraId="3D0D129C" w14:textId="77777777" w:rsidTr="004A1329">
              <w:tc>
                <w:tcPr>
                  <w:tcW w:w="1159" w:type="dxa"/>
                  <w:shd w:val="clear" w:color="auto" w:fill="FDE9D9" w:themeFill="accent6" w:themeFillTint="33"/>
                </w:tcPr>
                <w:p w14:paraId="67D35251" w14:textId="77777777" w:rsidR="00996C54" w:rsidRPr="007310A6" w:rsidRDefault="00000000" w:rsidP="004A1329">
                  <w:pPr>
                    <w:autoSpaceDN/>
                    <w:rPr>
                      <w:b/>
                      <w:bCs/>
                      <w:color w:val="auto"/>
                      <w:lang w:eastAsia="en-US"/>
                    </w:rPr>
                  </w:pPr>
                  <w:r w:rsidRPr="007310A6">
                    <w:rPr>
                      <w:b/>
                      <w:bCs/>
                      <w:color w:val="auto"/>
                      <w:lang w:eastAsia="en-US"/>
                    </w:rPr>
                    <w:t>All</w:t>
                  </w:r>
                </w:p>
              </w:tc>
              <w:tc>
                <w:tcPr>
                  <w:tcW w:w="1158" w:type="dxa"/>
                  <w:shd w:val="clear" w:color="auto" w:fill="FDE9D9" w:themeFill="accent6" w:themeFillTint="33"/>
                </w:tcPr>
                <w:p w14:paraId="3109DD12" w14:textId="77777777" w:rsidR="00996C54" w:rsidRPr="007310A6" w:rsidRDefault="00000000" w:rsidP="004A1329">
                  <w:pPr>
                    <w:autoSpaceDN/>
                    <w:jc w:val="center"/>
                    <w:rPr>
                      <w:color w:val="auto"/>
                      <w:lang w:eastAsia="en-US"/>
                    </w:rPr>
                  </w:pPr>
                  <w:r>
                    <w:rPr>
                      <w:color w:val="auto"/>
                      <w:lang w:eastAsia="en-US"/>
                    </w:rPr>
                    <w:t>58%</w:t>
                  </w:r>
                </w:p>
              </w:tc>
              <w:tc>
                <w:tcPr>
                  <w:tcW w:w="1159" w:type="dxa"/>
                  <w:shd w:val="clear" w:color="auto" w:fill="FDE9D9" w:themeFill="accent6" w:themeFillTint="33"/>
                </w:tcPr>
                <w:p w14:paraId="6272C7BD" w14:textId="77777777" w:rsidR="00996C54" w:rsidRPr="007310A6" w:rsidRDefault="00000000" w:rsidP="004A1329">
                  <w:pPr>
                    <w:autoSpaceDN/>
                    <w:jc w:val="center"/>
                    <w:rPr>
                      <w:color w:val="auto"/>
                      <w:lang w:eastAsia="en-US"/>
                    </w:rPr>
                  </w:pPr>
                  <w:r>
                    <w:rPr>
                      <w:color w:val="auto"/>
                      <w:lang w:eastAsia="en-US"/>
                    </w:rPr>
                    <w:t>87%</w:t>
                  </w:r>
                </w:p>
              </w:tc>
              <w:tc>
                <w:tcPr>
                  <w:tcW w:w="1163" w:type="dxa"/>
                  <w:shd w:val="clear" w:color="auto" w:fill="FDE9D9" w:themeFill="accent6" w:themeFillTint="33"/>
                </w:tcPr>
                <w:p w14:paraId="68659372" w14:textId="26F263C3" w:rsidR="00996C54" w:rsidRPr="007310A6" w:rsidRDefault="00C74C24" w:rsidP="004A1329">
                  <w:pPr>
                    <w:autoSpaceDN/>
                    <w:jc w:val="center"/>
                    <w:rPr>
                      <w:color w:val="auto"/>
                      <w:lang w:eastAsia="en-US"/>
                    </w:rPr>
                  </w:pPr>
                  <w:r>
                    <w:rPr>
                      <w:color w:val="auto"/>
                      <w:lang w:eastAsia="en-US"/>
                    </w:rPr>
                    <w:t>44</w:t>
                  </w:r>
                  <w:r w:rsidR="00000000">
                    <w:rPr>
                      <w:color w:val="auto"/>
                      <w:lang w:eastAsia="en-US"/>
                    </w:rPr>
                    <w:t>%</w:t>
                  </w:r>
                </w:p>
              </w:tc>
              <w:tc>
                <w:tcPr>
                  <w:tcW w:w="1157" w:type="dxa"/>
                  <w:shd w:val="clear" w:color="auto" w:fill="FDE9D9" w:themeFill="accent6" w:themeFillTint="33"/>
                </w:tcPr>
                <w:p w14:paraId="1BD66AF0" w14:textId="77777777" w:rsidR="00996C54" w:rsidRPr="007310A6" w:rsidRDefault="00000000" w:rsidP="004A1329">
                  <w:pPr>
                    <w:autoSpaceDN/>
                    <w:jc w:val="center"/>
                    <w:rPr>
                      <w:color w:val="auto"/>
                      <w:lang w:eastAsia="en-US"/>
                    </w:rPr>
                  </w:pPr>
                  <w:r>
                    <w:rPr>
                      <w:color w:val="auto"/>
                      <w:lang w:eastAsia="en-US"/>
                    </w:rPr>
                    <w:t>80%</w:t>
                  </w:r>
                </w:p>
              </w:tc>
              <w:tc>
                <w:tcPr>
                  <w:tcW w:w="1157" w:type="dxa"/>
                  <w:shd w:val="clear" w:color="auto" w:fill="FDE9D9" w:themeFill="accent6" w:themeFillTint="33"/>
                </w:tcPr>
                <w:p w14:paraId="0BD12998" w14:textId="77777777" w:rsidR="00996C54" w:rsidRPr="007310A6" w:rsidRDefault="00000000" w:rsidP="004A1329">
                  <w:pPr>
                    <w:autoSpaceDN/>
                    <w:jc w:val="center"/>
                    <w:rPr>
                      <w:color w:val="auto"/>
                      <w:lang w:eastAsia="en-US"/>
                    </w:rPr>
                  </w:pPr>
                  <w:r>
                    <w:rPr>
                      <w:color w:val="auto"/>
                      <w:lang w:eastAsia="en-US"/>
                    </w:rPr>
                    <w:t>74%</w:t>
                  </w:r>
                </w:p>
              </w:tc>
              <w:tc>
                <w:tcPr>
                  <w:tcW w:w="1157" w:type="dxa"/>
                  <w:shd w:val="clear" w:color="auto" w:fill="FDE9D9" w:themeFill="accent6" w:themeFillTint="33"/>
                </w:tcPr>
                <w:p w14:paraId="72356CBB" w14:textId="77777777" w:rsidR="00996C54" w:rsidRPr="007310A6" w:rsidRDefault="00000000" w:rsidP="004A1329">
                  <w:pPr>
                    <w:autoSpaceDN/>
                    <w:jc w:val="center"/>
                    <w:rPr>
                      <w:color w:val="auto"/>
                      <w:lang w:eastAsia="en-US"/>
                    </w:rPr>
                  </w:pPr>
                  <w:r>
                    <w:rPr>
                      <w:color w:val="auto"/>
                      <w:lang w:eastAsia="en-US"/>
                    </w:rPr>
                    <w:t>75%</w:t>
                  </w:r>
                </w:p>
              </w:tc>
              <w:tc>
                <w:tcPr>
                  <w:tcW w:w="1157" w:type="dxa"/>
                  <w:shd w:val="clear" w:color="auto" w:fill="FDE9D9" w:themeFill="accent6" w:themeFillTint="33"/>
                </w:tcPr>
                <w:p w14:paraId="06992AD6" w14:textId="77777777" w:rsidR="00996C54" w:rsidRPr="007310A6" w:rsidRDefault="00000000" w:rsidP="004A1329">
                  <w:pPr>
                    <w:autoSpaceDN/>
                    <w:jc w:val="center"/>
                    <w:rPr>
                      <w:color w:val="auto"/>
                      <w:lang w:eastAsia="en-US"/>
                    </w:rPr>
                  </w:pPr>
                  <w:r>
                    <w:rPr>
                      <w:color w:val="auto"/>
                      <w:lang w:eastAsia="en-US"/>
                    </w:rPr>
                    <w:t>65%</w:t>
                  </w:r>
                </w:p>
              </w:tc>
            </w:tr>
            <w:tr w:rsidR="004A1329" w:rsidRPr="007310A6" w14:paraId="35AD8348" w14:textId="77777777" w:rsidTr="004A1329">
              <w:tc>
                <w:tcPr>
                  <w:tcW w:w="1159" w:type="dxa"/>
                </w:tcPr>
                <w:p w14:paraId="398FAD5C" w14:textId="77777777" w:rsidR="00996C54" w:rsidRPr="007310A6" w:rsidRDefault="00000000" w:rsidP="004A1329">
                  <w:pPr>
                    <w:autoSpaceDN/>
                    <w:rPr>
                      <w:b/>
                      <w:bCs/>
                      <w:color w:val="auto"/>
                      <w:lang w:eastAsia="en-US"/>
                    </w:rPr>
                  </w:pPr>
                  <w:r w:rsidRPr="007310A6">
                    <w:rPr>
                      <w:b/>
                      <w:bCs/>
                      <w:color w:val="auto"/>
                      <w:lang w:eastAsia="en-US"/>
                    </w:rPr>
                    <w:t>PP</w:t>
                  </w:r>
                </w:p>
              </w:tc>
              <w:tc>
                <w:tcPr>
                  <w:tcW w:w="1158" w:type="dxa"/>
                </w:tcPr>
                <w:p w14:paraId="57FA6F39" w14:textId="77777777" w:rsidR="00996C54" w:rsidRPr="007310A6" w:rsidRDefault="00000000" w:rsidP="004A1329">
                  <w:pPr>
                    <w:autoSpaceDN/>
                    <w:jc w:val="center"/>
                    <w:rPr>
                      <w:color w:val="auto"/>
                      <w:lang w:eastAsia="en-US"/>
                    </w:rPr>
                  </w:pPr>
                  <w:r>
                    <w:rPr>
                      <w:color w:val="auto"/>
                      <w:lang w:eastAsia="en-US"/>
                    </w:rPr>
                    <w:t>100%</w:t>
                  </w:r>
                </w:p>
              </w:tc>
              <w:tc>
                <w:tcPr>
                  <w:tcW w:w="1159" w:type="dxa"/>
                </w:tcPr>
                <w:p w14:paraId="3D89BE84" w14:textId="77777777" w:rsidR="00996C54" w:rsidRPr="007310A6" w:rsidRDefault="00000000" w:rsidP="004A1329">
                  <w:pPr>
                    <w:autoSpaceDN/>
                    <w:jc w:val="center"/>
                    <w:rPr>
                      <w:color w:val="auto"/>
                      <w:lang w:eastAsia="en-US"/>
                    </w:rPr>
                  </w:pPr>
                  <w:r>
                    <w:rPr>
                      <w:color w:val="auto"/>
                      <w:lang w:eastAsia="en-US"/>
                    </w:rPr>
                    <w:t>73%</w:t>
                  </w:r>
                </w:p>
              </w:tc>
              <w:tc>
                <w:tcPr>
                  <w:tcW w:w="1163" w:type="dxa"/>
                </w:tcPr>
                <w:p w14:paraId="685E9B80" w14:textId="1B151A4F" w:rsidR="00996C54" w:rsidRPr="007310A6" w:rsidRDefault="00C74C24" w:rsidP="004A1329">
                  <w:pPr>
                    <w:autoSpaceDN/>
                    <w:jc w:val="center"/>
                    <w:rPr>
                      <w:color w:val="auto"/>
                      <w:lang w:eastAsia="en-US"/>
                    </w:rPr>
                  </w:pPr>
                  <w:r>
                    <w:rPr>
                      <w:color w:val="auto"/>
                      <w:lang w:eastAsia="en-US"/>
                    </w:rPr>
                    <w:t>18</w:t>
                  </w:r>
                  <w:r w:rsidR="00000000">
                    <w:rPr>
                      <w:color w:val="auto"/>
                      <w:lang w:eastAsia="en-US"/>
                    </w:rPr>
                    <w:t>%</w:t>
                  </w:r>
                </w:p>
              </w:tc>
              <w:tc>
                <w:tcPr>
                  <w:tcW w:w="1157" w:type="dxa"/>
                </w:tcPr>
                <w:p w14:paraId="10807DA1" w14:textId="77777777" w:rsidR="00996C54" w:rsidRPr="007310A6" w:rsidRDefault="00000000" w:rsidP="004A1329">
                  <w:pPr>
                    <w:autoSpaceDN/>
                    <w:jc w:val="center"/>
                    <w:rPr>
                      <w:color w:val="auto"/>
                      <w:lang w:eastAsia="en-US"/>
                    </w:rPr>
                  </w:pPr>
                  <w:r>
                    <w:rPr>
                      <w:color w:val="auto"/>
                      <w:lang w:eastAsia="en-US"/>
                    </w:rPr>
                    <w:t>71%</w:t>
                  </w:r>
                </w:p>
              </w:tc>
              <w:tc>
                <w:tcPr>
                  <w:tcW w:w="1157" w:type="dxa"/>
                </w:tcPr>
                <w:p w14:paraId="2C605431" w14:textId="77777777" w:rsidR="00996C54" w:rsidRPr="007310A6" w:rsidRDefault="00000000" w:rsidP="004A1329">
                  <w:pPr>
                    <w:autoSpaceDN/>
                    <w:jc w:val="center"/>
                    <w:rPr>
                      <w:color w:val="auto"/>
                      <w:lang w:eastAsia="en-US"/>
                    </w:rPr>
                  </w:pPr>
                  <w:r>
                    <w:rPr>
                      <w:color w:val="auto"/>
                      <w:lang w:eastAsia="en-US"/>
                    </w:rPr>
                    <w:t>57%</w:t>
                  </w:r>
                </w:p>
              </w:tc>
              <w:tc>
                <w:tcPr>
                  <w:tcW w:w="1157" w:type="dxa"/>
                </w:tcPr>
                <w:p w14:paraId="068AB951" w14:textId="77777777" w:rsidR="00996C54" w:rsidRPr="007310A6" w:rsidRDefault="00000000" w:rsidP="004A1329">
                  <w:pPr>
                    <w:autoSpaceDN/>
                    <w:jc w:val="center"/>
                    <w:rPr>
                      <w:color w:val="auto"/>
                      <w:lang w:eastAsia="en-US"/>
                    </w:rPr>
                  </w:pPr>
                  <w:r>
                    <w:rPr>
                      <w:color w:val="auto"/>
                      <w:lang w:eastAsia="en-US"/>
                    </w:rPr>
                    <w:t>57%</w:t>
                  </w:r>
                </w:p>
              </w:tc>
              <w:tc>
                <w:tcPr>
                  <w:tcW w:w="1157" w:type="dxa"/>
                </w:tcPr>
                <w:p w14:paraId="12F3FFEB" w14:textId="77777777" w:rsidR="00996C54" w:rsidRPr="007310A6" w:rsidRDefault="00000000" w:rsidP="004A1329">
                  <w:pPr>
                    <w:autoSpaceDN/>
                    <w:jc w:val="center"/>
                    <w:rPr>
                      <w:color w:val="auto"/>
                      <w:lang w:eastAsia="en-US"/>
                    </w:rPr>
                  </w:pPr>
                  <w:r>
                    <w:rPr>
                      <w:color w:val="auto"/>
                      <w:lang w:eastAsia="en-US"/>
                    </w:rPr>
                    <w:t>43%</w:t>
                  </w:r>
                </w:p>
              </w:tc>
            </w:tr>
          </w:tbl>
          <w:p w14:paraId="5C9241BD" w14:textId="77777777" w:rsidR="00996C54" w:rsidRDefault="00996C54" w:rsidP="00147B02">
            <w:pPr>
              <w:autoSpaceDN/>
              <w:spacing w:before="120"/>
              <w:rPr>
                <w:color w:val="auto"/>
                <w:lang w:eastAsia="en-US"/>
              </w:rPr>
            </w:pPr>
          </w:p>
          <w:p w14:paraId="71F0CEAB" w14:textId="77777777" w:rsidR="00996C54" w:rsidRDefault="00000000" w:rsidP="00147B02">
            <w:pPr>
              <w:autoSpaceDN/>
              <w:spacing w:before="120"/>
              <w:rPr>
                <w:b/>
                <w:bCs/>
                <w:color w:val="auto"/>
                <w:lang w:eastAsia="en-US"/>
              </w:rPr>
            </w:pPr>
            <w:r w:rsidRPr="007B6000">
              <w:rPr>
                <w:b/>
                <w:bCs/>
                <w:color w:val="auto"/>
                <w:lang w:eastAsia="en-US"/>
              </w:rPr>
              <w:t>Attendance Data</w:t>
            </w:r>
            <w:r>
              <w:rPr>
                <w:b/>
                <w:bCs/>
                <w:color w:val="auto"/>
                <w:lang w:eastAsia="en-US"/>
              </w:rPr>
              <w:t>:</w:t>
            </w:r>
          </w:p>
          <w:p w14:paraId="2020CCE8" w14:textId="3C5E2504" w:rsidR="00996C54" w:rsidRPr="007B6000" w:rsidRDefault="00000000" w:rsidP="007B6000">
            <w:pPr>
              <w:autoSpaceDN/>
              <w:spacing w:before="120"/>
              <w:rPr>
                <w:b/>
                <w:bCs/>
                <w:color w:val="auto"/>
                <w:lang w:eastAsia="en-US"/>
              </w:rPr>
            </w:pPr>
            <w:r>
              <w:rPr>
                <w:b/>
                <w:bCs/>
                <w:color w:val="auto"/>
                <w:lang w:eastAsia="en-US"/>
              </w:rPr>
              <w:t>24/25 attendance PP-89.4%  All- 93.7%  No PP- 94.9%</w:t>
            </w:r>
            <w:r>
              <w:rPr>
                <w:b/>
                <w:color w:val="auto"/>
              </w:rPr>
              <w:br/>
            </w:r>
            <w:r w:rsidRPr="007310A6">
              <w:rPr>
                <w:color w:val="auto"/>
                <w:lang w:eastAsia="en-US"/>
              </w:rPr>
              <w:t>We have reviewed our strategy plan and made changes to how we intend to use some of our budget this academic year:</w:t>
            </w:r>
          </w:p>
          <w:p w14:paraId="2561A8F7" w14:textId="77777777" w:rsidR="00996C54" w:rsidRPr="007310A6" w:rsidRDefault="00000000" w:rsidP="00147B02">
            <w:pPr>
              <w:spacing w:before="120"/>
              <w:rPr>
                <w:color w:val="auto"/>
                <w:lang w:eastAsia="en-US"/>
              </w:rPr>
            </w:pPr>
            <w:r w:rsidRPr="007310A6">
              <w:rPr>
                <w:color w:val="auto"/>
                <w:lang w:eastAsia="en-US"/>
              </w:rPr>
              <w:t>Our key actions are:</w:t>
            </w:r>
          </w:p>
          <w:p w14:paraId="2E9BC68D" w14:textId="24F41B85" w:rsidR="00996C54" w:rsidRPr="007310A6" w:rsidRDefault="00000000" w:rsidP="00147B02">
            <w:pPr>
              <w:pStyle w:val="ListParagraph"/>
              <w:numPr>
                <w:ilvl w:val="0"/>
                <w:numId w:val="18"/>
              </w:numPr>
              <w:spacing w:before="120"/>
              <w:rPr>
                <w:color w:val="auto"/>
                <w:lang w:eastAsia="en-US"/>
              </w:rPr>
            </w:pPr>
            <w:r w:rsidRPr="007310A6">
              <w:rPr>
                <w:color w:val="auto"/>
                <w:lang w:eastAsia="en-US"/>
              </w:rPr>
              <w:t xml:space="preserve">Further develop the implementation of the maths curriculum with a focus on </w:t>
            </w:r>
            <w:r w:rsidR="0054304F">
              <w:rPr>
                <w:color w:val="auto"/>
                <w:lang w:eastAsia="en-US"/>
              </w:rPr>
              <w:t>key skills, adaptations</w:t>
            </w:r>
            <w:r w:rsidRPr="007310A6">
              <w:rPr>
                <w:color w:val="auto"/>
                <w:lang w:eastAsia="en-US"/>
              </w:rPr>
              <w:t xml:space="preserve"> and mastery development.</w:t>
            </w:r>
          </w:p>
          <w:p w14:paraId="291CD941" w14:textId="77777777" w:rsidR="00996C54" w:rsidRPr="007310A6" w:rsidRDefault="00000000" w:rsidP="00147B02">
            <w:pPr>
              <w:pStyle w:val="ListParagraph"/>
              <w:numPr>
                <w:ilvl w:val="0"/>
                <w:numId w:val="18"/>
              </w:numPr>
              <w:spacing w:before="120"/>
              <w:rPr>
                <w:color w:val="auto"/>
                <w:lang w:eastAsia="en-US"/>
              </w:rPr>
            </w:pPr>
            <w:r w:rsidRPr="007310A6">
              <w:rPr>
                <w:color w:val="auto"/>
                <w:lang w:eastAsia="en-US"/>
              </w:rPr>
              <w:t xml:space="preserve">Further develop strategies and inter-agency working to secure improved attendance and punctuality for disadvantaged pupils. </w:t>
            </w:r>
          </w:p>
          <w:p w14:paraId="52C757C5" w14:textId="77777777" w:rsidR="00996C54" w:rsidRPr="007310A6" w:rsidRDefault="00000000" w:rsidP="00BB5AE5">
            <w:pPr>
              <w:pStyle w:val="ListParagraph"/>
              <w:numPr>
                <w:ilvl w:val="0"/>
                <w:numId w:val="18"/>
              </w:numPr>
              <w:autoSpaceDN/>
              <w:spacing w:before="120"/>
              <w:rPr>
                <w:rFonts w:cs="Arial"/>
                <w:color w:val="auto"/>
                <w:lang w:eastAsia="en-US"/>
              </w:rPr>
            </w:pPr>
            <w:r w:rsidRPr="007310A6">
              <w:rPr>
                <w:color w:val="auto"/>
                <w:lang w:eastAsia="en-US"/>
              </w:rPr>
              <w:t>Further develop quality first teaching and targeted support for disadvantaged pupils.</w:t>
            </w:r>
          </w:p>
          <w:p w14:paraId="447F1382" w14:textId="26C7F569" w:rsidR="00996C54" w:rsidRPr="007310A6" w:rsidRDefault="00000000" w:rsidP="00EE523B">
            <w:pPr>
              <w:pStyle w:val="ListParagraph"/>
              <w:numPr>
                <w:ilvl w:val="0"/>
                <w:numId w:val="18"/>
              </w:numPr>
              <w:autoSpaceDN/>
              <w:spacing w:before="120"/>
              <w:rPr>
                <w:color w:val="auto"/>
                <w:lang w:eastAsia="en-US"/>
              </w:rPr>
            </w:pPr>
            <w:r w:rsidRPr="007310A6">
              <w:rPr>
                <w:color w:val="auto"/>
                <w:lang w:eastAsia="en-US"/>
              </w:rPr>
              <w:t>Further develop quality first teaching and targeted support for disadvantaged pupils to narrow the gap with peers nationally.</w:t>
            </w:r>
          </w:p>
          <w:p w14:paraId="5A1C2E21" w14:textId="77777777" w:rsidR="00996C54" w:rsidRPr="007310A6" w:rsidRDefault="00000000" w:rsidP="00EE523B">
            <w:pPr>
              <w:pStyle w:val="ListParagraph"/>
              <w:numPr>
                <w:ilvl w:val="0"/>
                <w:numId w:val="18"/>
              </w:numPr>
              <w:autoSpaceDN/>
              <w:spacing w:before="120"/>
              <w:rPr>
                <w:color w:val="auto"/>
                <w:lang w:eastAsia="en-US"/>
              </w:rPr>
            </w:pPr>
            <w:r w:rsidRPr="007310A6">
              <w:rPr>
                <w:color w:val="auto"/>
                <w:lang w:eastAsia="en-US"/>
              </w:rPr>
              <w:t>Further develop the skills and resources linked to language development.</w:t>
            </w:r>
          </w:p>
        </w:tc>
      </w:tr>
    </w:tbl>
    <w:p w14:paraId="74DE538E" w14:textId="77777777" w:rsidR="00996C54" w:rsidRDefault="00996C54">
      <w:pPr>
        <w:pStyle w:val="Heading2"/>
        <w:spacing w:before="600"/>
      </w:pPr>
    </w:p>
    <w:p w14:paraId="10386A39" w14:textId="77777777" w:rsidR="00996C54" w:rsidRDefault="00000000">
      <w:pPr>
        <w:pStyle w:val="Heading2"/>
        <w:spacing w:before="600"/>
      </w:pPr>
      <w:r>
        <w:t>Externally provided programmes</w:t>
      </w:r>
    </w:p>
    <w:p w14:paraId="5F4FB518" w14:textId="77777777" w:rsidR="00996C54" w:rsidRDefault="00000000">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337F5683" w14:textId="77777777" w:rsidTr="64312784">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0FE32FE4" w14:textId="77777777" w:rsidR="00996C54" w:rsidRDefault="00000000">
            <w:pPr>
              <w:pStyle w:val="TableHeader"/>
              <w:jc w:val="left"/>
            </w:pPr>
            <w:r>
              <w:t>Programme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19B0ECF6" w14:textId="77777777" w:rsidR="00996C54" w:rsidRDefault="00000000">
            <w:pPr>
              <w:pStyle w:val="TableHeader"/>
              <w:jc w:val="left"/>
            </w:pPr>
            <w:r>
              <w:t>Provider</w:t>
            </w:r>
          </w:p>
        </w:tc>
      </w:tr>
      <w:tr w:rsidR="00E66558" w14:paraId="6B2EE5F9" w14:textId="77777777" w:rsidTr="64312784">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69B75" w14:textId="77777777" w:rsidR="00996C54" w:rsidRDefault="00000000">
            <w:pPr>
              <w:pStyle w:val="TableRow"/>
            </w:pPr>
            <w:r>
              <w:t>KS2 Times tables interventions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6B65D" w14:textId="77777777" w:rsidR="00996C54" w:rsidRDefault="00000000">
            <w:pPr>
              <w:pStyle w:val="TableRowCentered"/>
              <w:jc w:val="left"/>
            </w:pPr>
            <w:r>
              <w:t>TTRS</w:t>
            </w:r>
          </w:p>
        </w:tc>
      </w:tr>
      <w:tr w:rsidR="00E66558" w14:paraId="335DDD44" w14:textId="77777777" w:rsidTr="64312784">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979A5" w14:textId="77777777" w:rsidR="00996C54" w:rsidRDefault="00000000">
            <w:pPr>
              <w:pStyle w:val="TableRow"/>
            </w:pPr>
            <w:r>
              <w:t>EYFS/KS1 maths homework</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C6FE8" w14:textId="77777777" w:rsidR="00996C54" w:rsidRDefault="00000000">
            <w:pPr>
              <w:pStyle w:val="TableRowCentered"/>
              <w:jc w:val="left"/>
            </w:pPr>
            <w:r>
              <w:t>Numbots</w:t>
            </w:r>
          </w:p>
        </w:tc>
      </w:tr>
    </w:tbl>
    <w:p w14:paraId="32FE51B5" w14:textId="77777777" w:rsidR="00996C54" w:rsidRDefault="00996C54"/>
    <w:p w14:paraId="61916056" w14:textId="77777777" w:rsidR="00996C54" w:rsidRDefault="00996C54">
      <w:pPr>
        <w:spacing w:after="0" w:line="240" w:lineRule="auto"/>
      </w:pPr>
    </w:p>
    <w:bookmarkEnd w:id="14"/>
    <w:bookmarkEnd w:id="15"/>
    <w:bookmarkEnd w:id="16"/>
    <w:p w14:paraId="2129A1B1" w14:textId="77777777" w:rsidR="00996C54" w:rsidRDefault="00996C54"/>
    <w:sectPr w:rsidR="00996C54">
      <w:headerReference w:type="default" r:id="rId14"/>
      <w:footerReference w:type="default" r:id="rId1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E8D0E" w14:textId="77777777" w:rsidR="009B61F0" w:rsidRDefault="009B61F0">
      <w:pPr>
        <w:spacing w:after="0" w:line="240" w:lineRule="auto"/>
      </w:pPr>
      <w:r>
        <w:separator/>
      </w:r>
    </w:p>
  </w:endnote>
  <w:endnote w:type="continuationSeparator" w:id="0">
    <w:p w14:paraId="2501B246" w14:textId="77777777" w:rsidR="009B61F0" w:rsidRDefault="009B6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HelveticaNeue-Ligh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78FA" w14:textId="77777777" w:rsidR="00996C54" w:rsidRDefault="00000000">
    <w:pPr>
      <w:pStyle w:val="Footer"/>
      <w:ind w:firstLine="4513"/>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13E1B" w14:textId="77777777" w:rsidR="009B61F0" w:rsidRDefault="009B61F0">
      <w:pPr>
        <w:spacing w:after="0" w:line="240" w:lineRule="auto"/>
      </w:pPr>
      <w:r>
        <w:separator/>
      </w:r>
    </w:p>
  </w:footnote>
  <w:footnote w:type="continuationSeparator" w:id="0">
    <w:p w14:paraId="636E9F67" w14:textId="77777777" w:rsidR="009B61F0" w:rsidRDefault="009B6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1E4F" w14:textId="77777777" w:rsidR="00996C54" w:rsidRDefault="00996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52732"/>
    <w:multiLevelType w:val="hybridMultilevel"/>
    <w:tmpl w:val="1708D4E6"/>
    <w:lvl w:ilvl="0" w:tplc="E7B839B4">
      <w:start w:val="1"/>
      <w:numFmt w:val="bullet"/>
      <w:lvlText w:val=""/>
      <w:lvlJc w:val="left"/>
      <w:pPr>
        <w:ind w:left="777" w:hanging="360"/>
      </w:pPr>
      <w:rPr>
        <w:rFonts w:ascii="Symbol" w:hAnsi="Symbol" w:hint="default"/>
        <w:sz w:val="18"/>
        <w:szCs w:val="18"/>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1499761E"/>
    <w:multiLevelType w:val="hybridMultilevel"/>
    <w:tmpl w:val="6C86EF6A"/>
    <w:styleLink w:val="LFO6"/>
    <w:lvl w:ilvl="0" w:tplc="F3F225CE">
      <w:numFmt w:val="bullet"/>
      <w:pStyle w:val="ListBullet"/>
      <w:lvlText w:val=""/>
      <w:lvlJc w:val="left"/>
      <w:pPr>
        <w:ind w:left="720" w:hanging="360"/>
      </w:pPr>
      <w:rPr>
        <w:rFonts w:ascii="Symbol" w:hAnsi="Symbol"/>
      </w:rPr>
    </w:lvl>
    <w:lvl w:ilvl="1" w:tplc="CB10C3CC">
      <w:numFmt w:val="bullet"/>
      <w:lvlText w:val=""/>
      <w:lvlJc w:val="left"/>
      <w:pPr>
        <w:ind w:left="1440" w:hanging="360"/>
      </w:pPr>
      <w:rPr>
        <w:rFonts w:ascii="Symbol" w:hAnsi="Symbol"/>
        <w:color w:val="auto"/>
        <w:sz w:val="24"/>
      </w:rPr>
    </w:lvl>
    <w:lvl w:ilvl="2" w:tplc="F7308416">
      <w:numFmt w:val="bullet"/>
      <w:lvlText w:val=""/>
      <w:lvlJc w:val="left"/>
      <w:pPr>
        <w:ind w:left="2160" w:hanging="360"/>
      </w:pPr>
      <w:rPr>
        <w:rFonts w:ascii="Wingdings" w:hAnsi="Wingdings"/>
      </w:rPr>
    </w:lvl>
    <w:lvl w:ilvl="3" w:tplc="D4D811B0">
      <w:numFmt w:val="bullet"/>
      <w:lvlText w:val=""/>
      <w:lvlJc w:val="left"/>
      <w:pPr>
        <w:ind w:left="2880" w:hanging="360"/>
      </w:pPr>
      <w:rPr>
        <w:rFonts w:ascii="Symbol" w:hAnsi="Symbol"/>
      </w:rPr>
    </w:lvl>
    <w:lvl w:ilvl="4" w:tplc="1110E5DA">
      <w:numFmt w:val="bullet"/>
      <w:lvlText w:val="o"/>
      <w:lvlJc w:val="left"/>
      <w:pPr>
        <w:ind w:left="3600" w:hanging="360"/>
      </w:pPr>
      <w:rPr>
        <w:rFonts w:ascii="Courier New" w:hAnsi="Courier New" w:cs="Courier New"/>
      </w:rPr>
    </w:lvl>
    <w:lvl w:ilvl="5" w:tplc="6E1804F8">
      <w:numFmt w:val="bullet"/>
      <w:lvlText w:val=""/>
      <w:lvlJc w:val="left"/>
      <w:pPr>
        <w:ind w:left="4320" w:hanging="360"/>
      </w:pPr>
      <w:rPr>
        <w:rFonts w:ascii="Wingdings" w:hAnsi="Wingdings"/>
      </w:rPr>
    </w:lvl>
    <w:lvl w:ilvl="6" w:tplc="E5766894">
      <w:numFmt w:val="bullet"/>
      <w:lvlText w:val=""/>
      <w:lvlJc w:val="left"/>
      <w:pPr>
        <w:ind w:left="5040" w:hanging="360"/>
      </w:pPr>
      <w:rPr>
        <w:rFonts w:ascii="Symbol" w:hAnsi="Symbol"/>
      </w:rPr>
    </w:lvl>
    <w:lvl w:ilvl="7" w:tplc="7332D54C">
      <w:numFmt w:val="bullet"/>
      <w:lvlText w:val="o"/>
      <w:lvlJc w:val="left"/>
      <w:pPr>
        <w:ind w:left="5760" w:hanging="360"/>
      </w:pPr>
      <w:rPr>
        <w:rFonts w:ascii="Courier New" w:hAnsi="Courier New" w:cs="Courier New"/>
      </w:rPr>
    </w:lvl>
    <w:lvl w:ilvl="8" w:tplc="5AA018B4">
      <w:numFmt w:val="bullet"/>
      <w:lvlText w:val=""/>
      <w:lvlJc w:val="left"/>
      <w:pPr>
        <w:ind w:left="6480" w:hanging="360"/>
      </w:pPr>
      <w:rPr>
        <w:rFonts w:ascii="Wingdings" w:hAnsi="Wingdings"/>
      </w:rPr>
    </w:lvl>
  </w:abstractNum>
  <w:abstractNum w:abstractNumId="2" w15:restartNumberingAfterBreak="0">
    <w:nsid w:val="16F9105D"/>
    <w:multiLevelType w:val="hybridMultilevel"/>
    <w:tmpl w:val="0B4CB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0C092B"/>
    <w:multiLevelType w:val="hybridMultilevel"/>
    <w:tmpl w:val="D7CEA19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212E2A8F"/>
    <w:multiLevelType w:val="hybridMultilevel"/>
    <w:tmpl w:val="D2FCC3E6"/>
    <w:styleLink w:val="LFO34"/>
    <w:lvl w:ilvl="0" w:tplc="7068D2D0">
      <w:start w:val="1"/>
      <w:numFmt w:val="decimal"/>
      <w:pStyle w:val="DeptOutNumbered"/>
      <w:lvlText w:val="%1."/>
      <w:lvlJc w:val="left"/>
    </w:lvl>
    <w:lvl w:ilvl="1" w:tplc="2940F674">
      <w:start w:val="1"/>
      <w:numFmt w:val="lowerLetter"/>
      <w:lvlText w:val="%2."/>
      <w:lvlJc w:val="left"/>
      <w:pPr>
        <w:ind w:left="1440" w:hanging="720"/>
      </w:pPr>
    </w:lvl>
    <w:lvl w:ilvl="2" w:tplc="6F88549E">
      <w:start w:val="1"/>
      <w:numFmt w:val="lowerRoman"/>
      <w:lvlText w:val="%3)"/>
      <w:lvlJc w:val="left"/>
      <w:pPr>
        <w:ind w:left="2160" w:hanging="720"/>
      </w:pPr>
      <w:rPr>
        <w:rFonts w:ascii="Arial" w:hAnsi="Arial"/>
        <w:color w:val="auto"/>
        <w:sz w:val="22"/>
        <w:szCs w:val="22"/>
      </w:rPr>
    </w:lvl>
    <w:lvl w:ilvl="3" w:tplc="A2E25296">
      <w:start w:val="1"/>
      <w:numFmt w:val="lowerLetter"/>
      <w:lvlText w:val="%4)"/>
      <w:lvlJc w:val="left"/>
      <w:pPr>
        <w:ind w:left="2880" w:hanging="720"/>
      </w:pPr>
    </w:lvl>
    <w:lvl w:ilvl="4" w:tplc="D5D28236">
      <w:start w:val="1"/>
      <w:numFmt w:val="decimal"/>
      <w:lvlText w:val="(%5)"/>
      <w:lvlJc w:val="left"/>
      <w:pPr>
        <w:ind w:left="3600" w:hanging="720"/>
      </w:pPr>
    </w:lvl>
    <w:lvl w:ilvl="5" w:tplc="F788AA52">
      <w:start w:val="1"/>
      <w:numFmt w:val="lowerRoman"/>
      <w:lvlText w:val="(%6)"/>
      <w:lvlJc w:val="left"/>
      <w:pPr>
        <w:ind w:left="4320" w:hanging="720"/>
      </w:pPr>
    </w:lvl>
    <w:lvl w:ilvl="6" w:tplc="770225DE">
      <w:start w:val="1"/>
      <w:numFmt w:val="decimal"/>
      <w:lvlText w:val="%7."/>
      <w:lvlJc w:val="left"/>
      <w:pPr>
        <w:ind w:left="5040" w:hanging="720"/>
      </w:pPr>
    </w:lvl>
    <w:lvl w:ilvl="7" w:tplc="FD683BFA">
      <w:start w:val="1"/>
      <w:numFmt w:val="lowerLetter"/>
      <w:lvlText w:val="%8."/>
      <w:lvlJc w:val="left"/>
      <w:pPr>
        <w:ind w:left="5760" w:hanging="720"/>
      </w:pPr>
    </w:lvl>
    <w:lvl w:ilvl="8" w:tplc="47FC17EE">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984DAD"/>
    <w:multiLevelType w:val="hybridMultilevel"/>
    <w:tmpl w:val="AFA4D97E"/>
    <w:lvl w:ilvl="0" w:tplc="3370DDF4">
      <w:start w:val="1"/>
      <w:numFmt w:val="bullet"/>
      <w:lvlText w:val=""/>
      <w:lvlJc w:val="left"/>
      <w:pPr>
        <w:ind w:left="777" w:hanging="360"/>
      </w:pPr>
      <w:rPr>
        <w:rFonts w:ascii="Symbol" w:hAnsi="Symbol" w:hint="default"/>
        <w:sz w:val="18"/>
        <w:szCs w:val="18"/>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hybridMultilevel"/>
    <w:tmpl w:val="A296BC9C"/>
    <w:styleLink w:val="LFO4"/>
    <w:lvl w:ilvl="0" w:tplc="8AB261CE">
      <w:numFmt w:val="bullet"/>
      <w:pStyle w:val="ListBullet4"/>
      <w:lvlText w:val=""/>
      <w:lvlJc w:val="left"/>
      <w:pPr>
        <w:ind w:left="1209" w:hanging="360"/>
      </w:pPr>
      <w:rPr>
        <w:rFonts w:ascii="Symbol" w:hAnsi="Symbol"/>
      </w:rPr>
    </w:lvl>
    <w:lvl w:ilvl="1" w:tplc="95C65FBE">
      <w:start w:val="1"/>
      <w:numFmt w:val="none"/>
      <w:lvlText w:val="%2"/>
      <w:lvlJc w:val="left"/>
    </w:lvl>
    <w:lvl w:ilvl="2" w:tplc="9888031E">
      <w:start w:val="1"/>
      <w:numFmt w:val="none"/>
      <w:lvlText w:val="%3"/>
      <w:lvlJc w:val="left"/>
    </w:lvl>
    <w:lvl w:ilvl="3" w:tplc="F0D6E01A">
      <w:start w:val="1"/>
      <w:numFmt w:val="none"/>
      <w:lvlText w:val="%4"/>
      <w:lvlJc w:val="left"/>
    </w:lvl>
    <w:lvl w:ilvl="4" w:tplc="E1284ED6">
      <w:start w:val="1"/>
      <w:numFmt w:val="none"/>
      <w:lvlText w:val="%5"/>
      <w:lvlJc w:val="left"/>
    </w:lvl>
    <w:lvl w:ilvl="5" w:tplc="D52EDB40">
      <w:start w:val="1"/>
      <w:numFmt w:val="none"/>
      <w:lvlText w:val="%6"/>
      <w:lvlJc w:val="left"/>
    </w:lvl>
    <w:lvl w:ilvl="6" w:tplc="E1EA4EDE">
      <w:start w:val="1"/>
      <w:numFmt w:val="none"/>
      <w:lvlText w:val="%7"/>
      <w:lvlJc w:val="left"/>
    </w:lvl>
    <w:lvl w:ilvl="7" w:tplc="FC20F460">
      <w:start w:val="1"/>
      <w:numFmt w:val="none"/>
      <w:lvlText w:val="%8"/>
      <w:lvlJc w:val="left"/>
    </w:lvl>
    <w:lvl w:ilvl="8" w:tplc="C92E9174">
      <w:start w:val="1"/>
      <w:numFmt w:val="none"/>
      <w:lvlText w:val="%9"/>
      <w:lvlJc w:val="left"/>
    </w:lvl>
  </w:abstractNum>
  <w:abstractNum w:abstractNumId="10" w15:restartNumberingAfterBreak="0">
    <w:nsid w:val="3FE9198B"/>
    <w:multiLevelType w:val="hybridMultilevel"/>
    <w:tmpl w:val="2A508BBA"/>
    <w:styleLink w:val="LFO9"/>
    <w:lvl w:ilvl="0" w:tplc="40AEAE52">
      <w:numFmt w:val="bullet"/>
      <w:pStyle w:val="ListBullet2"/>
      <w:lvlText w:val=""/>
      <w:lvlJc w:val="left"/>
      <w:pPr>
        <w:ind w:left="643" w:hanging="360"/>
      </w:pPr>
      <w:rPr>
        <w:rFonts w:ascii="Symbol" w:hAnsi="Symbol"/>
      </w:rPr>
    </w:lvl>
    <w:lvl w:ilvl="1" w:tplc="10A26290">
      <w:start w:val="1"/>
      <w:numFmt w:val="none"/>
      <w:lvlText w:val="%2"/>
      <w:lvlJc w:val="left"/>
    </w:lvl>
    <w:lvl w:ilvl="2" w:tplc="B6322C06">
      <w:start w:val="1"/>
      <w:numFmt w:val="none"/>
      <w:lvlText w:val="%3"/>
      <w:lvlJc w:val="left"/>
    </w:lvl>
    <w:lvl w:ilvl="3" w:tplc="64F80E88">
      <w:start w:val="1"/>
      <w:numFmt w:val="none"/>
      <w:lvlText w:val="%4"/>
      <w:lvlJc w:val="left"/>
    </w:lvl>
    <w:lvl w:ilvl="4" w:tplc="B414D54A">
      <w:start w:val="1"/>
      <w:numFmt w:val="none"/>
      <w:lvlText w:val="%5"/>
      <w:lvlJc w:val="left"/>
    </w:lvl>
    <w:lvl w:ilvl="5" w:tplc="13D8B04C">
      <w:start w:val="1"/>
      <w:numFmt w:val="none"/>
      <w:lvlText w:val="%6"/>
      <w:lvlJc w:val="left"/>
    </w:lvl>
    <w:lvl w:ilvl="6" w:tplc="EB801D68">
      <w:start w:val="1"/>
      <w:numFmt w:val="none"/>
      <w:lvlText w:val="%7"/>
      <w:lvlJc w:val="left"/>
    </w:lvl>
    <w:lvl w:ilvl="7" w:tplc="7632CF72">
      <w:start w:val="1"/>
      <w:numFmt w:val="none"/>
      <w:lvlText w:val="%8"/>
      <w:lvlJc w:val="left"/>
    </w:lvl>
    <w:lvl w:ilvl="8" w:tplc="E5800124">
      <w:start w:val="1"/>
      <w:numFmt w:val="none"/>
      <w:lvlText w:val="%9"/>
      <w:lvlJc w:val="left"/>
    </w:lvl>
  </w:abstractNum>
  <w:abstractNum w:abstractNumId="11"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F3112"/>
    <w:multiLevelType w:val="hybridMultilevel"/>
    <w:tmpl w:val="6ED6AAEA"/>
    <w:lvl w:ilvl="0" w:tplc="998E8AB6">
      <w:numFmt w:val="bullet"/>
      <w:lvlText w:val=""/>
      <w:lvlJc w:val="left"/>
      <w:pPr>
        <w:ind w:left="720" w:hanging="360"/>
      </w:pPr>
      <w:rPr>
        <w:rFonts w:ascii="Symbol" w:hAnsi="Symbol"/>
      </w:rPr>
    </w:lvl>
    <w:lvl w:ilvl="1" w:tplc="E0ACB4F2">
      <w:numFmt w:val="bullet"/>
      <w:lvlText w:val="o"/>
      <w:lvlJc w:val="left"/>
      <w:pPr>
        <w:ind w:left="1440" w:hanging="360"/>
      </w:pPr>
      <w:rPr>
        <w:rFonts w:ascii="Courier New" w:hAnsi="Courier New" w:cs="Courier New"/>
      </w:rPr>
    </w:lvl>
    <w:lvl w:ilvl="2" w:tplc="4C06D58A">
      <w:numFmt w:val="bullet"/>
      <w:lvlText w:val=""/>
      <w:lvlJc w:val="left"/>
      <w:pPr>
        <w:ind w:left="2160" w:hanging="360"/>
      </w:pPr>
      <w:rPr>
        <w:rFonts w:ascii="Wingdings" w:hAnsi="Wingdings"/>
      </w:rPr>
    </w:lvl>
    <w:lvl w:ilvl="3" w:tplc="8F3A4B02">
      <w:numFmt w:val="bullet"/>
      <w:lvlText w:val=""/>
      <w:lvlJc w:val="left"/>
      <w:pPr>
        <w:ind w:left="2880" w:hanging="360"/>
      </w:pPr>
      <w:rPr>
        <w:rFonts w:ascii="Symbol" w:hAnsi="Symbol"/>
      </w:rPr>
    </w:lvl>
    <w:lvl w:ilvl="4" w:tplc="F57677CC">
      <w:numFmt w:val="bullet"/>
      <w:lvlText w:val="o"/>
      <w:lvlJc w:val="left"/>
      <w:pPr>
        <w:ind w:left="3600" w:hanging="360"/>
      </w:pPr>
      <w:rPr>
        <w:rFonts w:ascii="Courier New" w:hAnsi="Courier New" w:cs="Courier New"/>
      </w:rPr>
    </w:lvl>
    <w:lvl w:ilvl="5" w:tplc="44C0D326">
      <w:numFmt w:val="bullet"/>
      <w:lvlText w:val=""/>
      <w:lvlJc w:val="left"/>
      <w:pPr>
        <w:ind w:left="4320" w:hanging="360"/>
      </w:pPr>
      <w:rPr>
        <w:rFonts w:ascii="Wingdings" w:hAnsi="Wingdings"/>
      </w:rPr>
    </w:lvl>
    <w:lvl w:ilvl="6" w:tplc="10DE7272">
      <w:numFmt w:val="bullet"/>
      <w:lvlText w:val=""/>
      <w:lvlJc w:val="left"/>
      <w:pPr>
        <w:ind w:left="5040" w:hanging="360"/>
      </w:pPr>
      <w:rPr>
        <w:rFonts w:ascii="Symbol" w:hAnsi="Symbol"/>
      </w:rPr>
    </w:lvl>
    <w:lvl w:ilvl="7" w:tplc="F1F25B1C">
      <w:numFmt w:val="bullet"/>
      <w:lvlText w:val="o"/>
      <w:lvlJc w:val="left"/>
      <w:pPr>
        <w:ind w:left="5760" w:hanging="360"/>
      </w:pPr>
      <w:rPr>
        <w:rFonts w:ascii="Courier New" w:hAnsi="Courier New" w:cs="Courier New"/>
      </w:rPr>
    </w:lvl>
    <w:lvl w:ilvl="8" w:tplc="BC1CF39C">
      <w:numFmt w:val="bullet"/>
      <w:lvlText w:val=""/>
      <w:lvlJc w:val="left"/>
      <w:pPr>
        <w:ind w:left="6480" w:hanging="360"/>
      </w:pPr>
      <w:rPr>
        <w:rFonts w:ascii="Wingdings" w:hAnsi="Wingdings"/>
      </w:rPr>
    </w:lvl>
  </w:abstractNum>
  <w:abstractNum w:abstractNumId="13" w15:restartNumberingAfterBreak="0">
    <w:nsid w:val="68F37F9D"/>
    <w:multiLevelType w:val="hybridMultilevel"/>
    <w:tmpl w:val="DE90E1B2"/>
    <w:styleLink w:val="LFO10"/>
    <w:lvl w:ilvl="0" w:tplc="9FA63D5A">
      <w:numFmt w:val="bullet"/>
      <w:pStyle w:val="ListBullet3"/>
      <w:lvlText w:val=""/>
      <w:lvlJc w:val="left"/>
      <w:pPr>
        <w:ind w:left="926" w:hanging="360"/>
      </w:pPr>
      <w:rPr>
        <w:rFonts w:ascii="Symbol" w:hAnsi="Symbol"/>
      </w:rPr>
    </w:lvl>
    <w:lvl w:ilvl="1" w:tplc="34BA560E">
      <w:start w:val="1"/>
      <w:numFmt w:val="none"/>
      <w:lvlText w:val="%2"/>
      <w:lvlJc w:val="left"/>
    </w:lvl>
    <w:lvl w:ilvl="2" w:tplc="AC40978E">
      <w:start w:val="1"/>
      <w:numFmt w:val="none"/>
      <w:lvlText w:val="%3"/>
      <w:lvlJc w:val="left"/>
    </w:lvl>
    <w:lvl w:ilvl="3" w:tplc="9F5AED78">
      <w:start w:val="1"/>
      <w:numFmt w:val="none"/>
      <w:lvlText w:val="%4"/>
      <w:lvlJc w:val="left"/>
    </w:lvl>
    <w:lvl w:ilvl="4" w:tplc="CAA83372">
      <w:start w:val="1"/>
      <w:numFmt w:val="none"/>
      <w:lvlText w:val="%5"/>
      <w:lvlJc w:val="left"/>
    </w:lvl>
    <w:lvl w:ilvl="5" w:tplc="2D0203FA">
      <w:start w:val="1"/>
      <w:numFmt w:val="none"/>
      <w:lvlText w:val="%6"/>
      <w:lvlJc w:val="left"/>
    </w:lvl>
    <w:lvl w:ilvl="6" w:tplc="CDF6EC22">
      <w:start w:val="1"/>
      <w:numFmt w:val="none"/>
      <w:lvlText w:val="%7"/>
      <w:lvlJc w:val="left"/>
    </w:lvl>
    <w:lvl w:ilvl="7" w:tplc="51F0D646">
      <w:start w:val="1"/>
      <w:numFmt w:val="none"/>
      <w:lvlText w:val="%8"/>
      <w:lvlJc w:val="left"/>
    </w:lvl>
    <w:lvl w:ilvl="8" w:tplc="CA40AFD8">
      <w:start w:val="1"/>
      <w:numFmt w:val="none"/>
      <w:lvlText w:val="%9"/>
      <w:lvlJc w:val="left"/>
    </w:lvl>
  </w:abstractNum>
  <w:abstractNum w:abstractNumId="14" w15:restartNumberingAfterBreak="0">
    <w:nsid w:val="6BE87082"/>
    <w:multiLevelType w:val="hybridMultilevel"/>
    <w:tmpl w:val="14C2AA72"/>
    <w:styleLink w:val="LFO30"/>
    <w:lvl w:ilvl="0" w:tplc="6400C3B0">
      <w:numFmt w:val="bullet"/>
      <w:pStyle w:val="DeptBullets"/>
      <w:lvlText w:val=""/>
      <w:lvlJc w:val="left"/>
      <w:pPr>
        <w:ind w:left="720" w:hanging="360"/>
      </w:pPr>
      <w:rPr>
        <w:rFonts w:ascii="Symbol" w:hAnsi="Symbol"/>
      </w:rPr>
    </w:lvl>
    <w:lvl w:ilvl="1" w:tplc="DD98B148">
      <w:numFmt w:val="bullet"/>
      <w:lvlText w:val="o"/>
      <w:lvlJc w:val="left"/>
      <w:pPr>
        <w:ind w:left="1440" w:hanging="360"/>
      </w:pPr>
      <w:rPr>
        <w:rFonts w:ascii="Courier New" w:hAnsi="Courier New"/>
      </w:rPr>
    </w:lvl>
    <w:lvl w:ilvl="2" w:tplc="C38ED900">
      <w:numFmt w:val="bullet"/>
      <w:lvlText w:val=""/>
      <w:lvlJc w:val="left"/>
      <w:pPr>
        <w:ind w:left="2160" w:hanging="360"/>
      </w:pPr>
      <w:rPr>
        <w:rFonts w:ascii="Marlett" w:hAnsi="Marlett"/>
      </w:rPr>
    </w:lvl>
    <w:lvl w:ilvl="3" w:tplc="60A8AB32">
      <w:numFmt w:val="bullet"/>
      <w:lvlText w:val=""/>
      <w:lvlJc w:val="left"/>
      <w:pPr>
        <w:ind w:left="2880" w:hanging="360"/>
      </w:pPr>
      <w:rPr>
        <w:rFonts w:ascii="Symbol" w:hAnsi="Symbol"/>
      </w:rPr>
    </w:lvl>
    <w:lvl w:ilvl="4" w:tplc="2B4A424A">
      <w:numFmt w:val="bullet"/>
      <w:lvlText w:val="o"/>
      <w:lvlJc w:val="left"/>
      <w:pPr>
        <w:ind w:left="3600" w:hanging="360"/>
      </w:pPr>
      <w:rPr>
        <w:rFonts w:ascii="Courier New" w:hAnsi="Courier New"/>
      </w:rPr>
    </w:lvl>
    <w:lvl w:ilvl="5" w:tplc="A76C5352">
      <w:numFmt w:val="bullet"/>
      <w:lvlText w:val=""/>
      <w:lvlJc w:val="left"/>
      <w:pPr>
        <w:ind w:left="4320" w:hanging="360"/>
      </w:pPr>
      <w:rPr>
        <w:rFonts w:ascii="Marlett" w:hAnsi="Marlett"/>
      </w:rPr>
    </w:lvl>
    <w:lvl w:ilvl="6" w:tplc="D0AE385A">
      <w:numFmt w:val="bullet"/>
      <w:lvlText w:val=""/>
      <w:lvlJc w:val="left"/>
      <w:pPr>
        <w:ind w:left="5040" w:hanging="360"/>
      </w:pPr>
      <w:rPr>
        <w:rFonts w:ascii="Symbol" w:hAnsi="Symbol"/>
      </w:rPr>
    </w:lvl>
    <w:lvl w:ilvl="7" w:tplc="57945748">
      <w:numFmt w:val="bullet"/>
      <w:lvlText w:val="o"/>
      <w:lvlJc w:val="left"/>
      <w:pPr>
        <w:ind w:left="5760" w:hanging="360"/>
      </w:pPr>
      <w:rPr>
        <w:rFonts w:ascii="Courier New" w:hAnsi="Courier New"/>
      </w:rPr>
    </w:lvl>
    <w:lvl w:ilvl="8" w:tplc="F4C6E6B2">
      <w:numFmt w:val="bullet"/>
      <w:lvlText w:val=""/>
      <w:lvlJc w:val="left"/>
      <w:pPr>
        <w:ind w:left="6480" w:hanging="360"/>
      </w:pPr>
      <w:rPr>
        <w:rFonts w:ascii="Marlett" w:hAnsi="Marlett"/>
      </w:rPr>
    </w:lvl>
  </w:abstractNum>
  <w:abstractNum w:abstractNumId="15" w15:restartNumberingAfterBreak="0">
    <w:nsid w:val="719A5F31"/>
    <w:multiLevelType w:val="hybridMultilevel"/>
    <w:tmpl w:val="3B86DE2C"/>
    <w:styleLink w:val="LFO28"/>
    <w:lvl w:ilvl="0" w:tplc="A97EF7AE">
      <w:start w:val="1"/>
      <w:numFmt w:val="decimal"/>
      <w:pStyle w:val="DfESOutNumbered"/>
      <w:lvlText w:val="%1."/>
      <w:lvlJc w:val="left"/>
    </w:lvl>
    <w:lvl w:ilvl="1" w:tplc="80B653FC">
      <w:start w:val="1"/>
      <w:numFmt w:val="lowerLetter"/>
      <w:lvlText w:val="%2."/>
      <w:lvlJc w:val="left"/>
      <w:pPr>
        <w:ind w:left="1440" w:hanging="720"/>
      </w:pPr>
    </w:lvl>
    <w:lvl w:ilvl="2" w:tplc="463E3668">
      <w:start w:val="1"/>
      <w:numFmt w:val="lowerRoman"/>
      <w:lvlText w:val="%3)"/>
      <w:lvlJc w:val="left"/>
      <w:pPr>
        <w:ind w:left="2160" w:hanging="720"/>
      </w:pPr>
    </w:lvl>
    <w:lvl w:ilvl="3" w:tplc="C0D89E56">
      <w:start w:val="1"/>
      <w:numFmt w:val="lowerLetter"/>
      <w:lvlText w:val="%4)"/>
      <w:lvlJc w:val="left"/>
      <w:pPr>
        <w:ind w:left="2880" w:hanging="720"/>
      </w:pPr>
    </w:lvl>
    <w:lvl w:ilvl="4" w:tplc="E11EC3BE">
      <w:start w:val="1"/>
      <w:numFmt w:val="decimal"/>
      <w:lvlText w:val="(%5)"/>
      <w:lvlJc w:val="left"/>
      <w:pPr>
        <w:ind w:left="3600" w:hanging="720"/>
      </w:pPr>
    </w:lvl>
    <w:lvl w:ilvl="5" w:tplc="D806DBC2">
      <w:start w:val="1"/>
      <w:numFmt w:val="lowerRoman"/>
      <w:lvlText w:val="(%6)"/>
      <w:lvlJc w:val="left"/>
      <w:pPr>
        <w:ind w:left="4320" w:hanging="720"/>
      </w:pPr>
    </w:lvl>
    <w:lvl w:ilvl="6" w:tplc="2F7E6E4E">
      <w:start w:val="1"/>
      <w:numFmt w:val="decimal"/>
      <w:lvlText w:val="%7."/>
      <w:lvlJc w:val="left"/>
      <w:pPr>
        <w:ind w:left="5040" w:hanging="720"/>
      </w:pPr>
    </w:lvl>
    <w:lvl w:ilvl="7" w:tplc="26ECA4B4">
      <w:start w:val="1"/>
      <w:numFmt w:val="lowerLetter"/>
      <w:lvlText w:val="%8."/>
      <w:lvlJc w:val="left"/>
      <w:pPr>
        <w:ind w:left="5760" w:hanging="720"/>
      </w:pPr>
    </w:lvl>
    <w:lvl w:ilvl="8" w:tplc="17708DFE">
      <w:start w:val="1"/>
      <w:numFmt w:val="lowerRoman"/>
      <w:lvlText w:val="%9."/>
      <w:lvlJc w:val="left"/>
      <w:pPr>
        <w:ind w:left="6480" w:hanging="720"/>
      </w:pPr>
    </w:lvl>
  </w:abstractNum>
  <w:abstractNum w:abstractNumId="16" w15:restartNumberingAfterBreak="0">
    <w:nsid w:val="71A22097"/>
    <w:multiLevelType w:val="hybridMultilevel"/>
    <w:tmpl w:val="009E2204"/>
    <w:styleLink w:val="LFO36"/>
    <w:lvl w:ilvl="0" w:tplc="8230FC84">
      <w:numFmt w:val="bullet"/>
      <w:pStyle w:val="DfESBullets"/>
      <w:lvlText w:val=""/>
      <w:lvlJc w:val="left"/>
      <w:pPr>
        <w:ind w:left="1080" w:hanging="360"/>
      </w:pPr>
      <w:rPr>
        <w:rFonts w:ascii="Symbol" w:hAnsi="Symbol"/>
      </w:rPr>
    </w:lvl>
    <w:lvl w:ilvl="1" w:tplc="0624E47C">
      <w:numFmt w:val="bullet"/>
      <w:lvlText w:val="o"/>
      <w:lvlJc w:val="left"/>
      <w:pPr>
        <w:ind w:left="1800" w:hanging="360"/>
      </w:pPr>
      <w:rPr>
        <w:rFonts w:ascii="Courier New" w:hAnsi="Courier New" w:cs="Courier New"/>
      </w:rPr>
    </w:lvl>
    <w:lvl w:ilvl="2" w:tplc="09C88F68">
      <w:numFmt w:val="bullet"/>
      <w:lvlText w:val=""/>
      <w:lvlJc w:val="left"/>
      <w:pPr>
        <w:ind w:left="2520" w:hanging="360"/>
      </w:pPr>
      <w:rPr>
        <w:rFonts w:ascii="Wingdings" w:hAnsi="Wingdings"/>
      </w:rPr>
    </w:lvl>
    <w:lvl w:ilvl="3" w:tplc="12F6AAD0">
      <w:numFmt w:val="bullet"/>
      <w:lvlText w:val=""/>
      <w:lvlJc w:val="left"/>
      <w:pPr>
        <w:ind w:left="3240" w:hanging="360"/>
      </w:pPr>
      <w:rPr>
        <w:rFonts w:ascii="Symbol" w:hAnsi="Symbol"/>
      </w:rPr>
    </w:lvl>
    <w:lvl w:ilvl="4" w:tplc="98BABF2A">
      <w:numFmt w:val="bullet"/>
      <w:lvlText w:val="o"/>
      <w:lvlJc w:val="left"/>
      <w:pPr>
        <w:ind w:left="3960" w:hanging="360"/>
      </w:pPr>
      <w:rPr>
        <w:rFonts w:ascii="Courier New" w:hAnsi="Courier New" w:cs="Courier New"/>
      </w:rPr>
    </w:lvl>
    <w:lvl w:ilvl="5" w:tplc="272C3872">
      <w:numFmt w:val="bullet"/>
      <w:lvlText w:val=""/>
      <w:lvlJc w:val="left"/>
      <w:pPr>
        <w:ind w:left="4680" w:hanging="360"/>
      </w:pPr>
      <w:rPr>
        <w:rFonts w:ascii="Wingdings" w:hAnsi="Wingdings"/>
      </w:rPr>
    </w:lvl>
    <w:lvl w:ilvl="6" w:tplc="BE682CDC">
      <w:numFmt w:val="bullet"/>
      <w:lvlText w:val=""/>
      <w:lvlJc w:val="left"/>
      <w:pPr>
        <w:ind w:left="5400" w:hanging="360"/>
      </w:pPr>
      <w:rPr>
        <w:rFonts w:ascii="Symbol" w:hAnsi="Symbol"/>
      </w:rPr>
    </w:lvl>
    <w:lvl w:ilvl="7" w:tplc="4238C2B4">
      <w:numFmt w:val="bullet"/>
      <w:lvlText w:val="o"/>
      <w:lvlJc w:val="left"/>
      <w:pPr>
        <w:ind w:left="6120" w:hanging="360"/>
      </w:pPr>
      <w:rPr>
        <w:rFonts w:ascii="Courier New" w:hAnsi="Courier New" w:cs="Courier New"/>
      </w:rPr>
    </w:lvl>
    <w:lvl w:ilvl="8" w:tplc="1F9C1A04">
      <w:numFmt w:val="bullet"/>
      <w:lvlText w:val=""/>
      <w:lvlJc w:val="left"/>
      <w:pPr>
        <w:ind w:left="6840" w:hanging="360"/>
      </w:pPr>
      <w:rPr>
        <w:rFonts w:ascii="Wingdings" w:hAnsi="Wingdings"/>
      </w:rPr>
    </w:lvl>
  </w:abstractNum>
  <w:abstractNum w:abstractNumId="17" w15:restartNumberingAfterBreak="0">
    <w:nsid w:val="71C3093C"/>
    <w:multiLevelType w:val="hybridMultilevel"/>
    <w:tmpl w:val="D2A48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CE2048"/>
    <w:multiLevelType w:val="hybridMultilevel"/>
    <w:tmpl w:val="2E54C3FA"/>
    <w:styleLink w:val="LFO25"/>
    <w:lvl w:ilvl="0" w:tplc="DC880068">
      <w:numFmt w:val="bullet"/>
      <w:pStyle w:val="ListParagraph"/>
      <w:lvlText w:val=""/>
      <w:lvlJc w:val="left"/>
      <w:pPr>
        <w:ind w:left="720" w:hanging="360"/>
      </w:pPr>
      <w:rPr>
        <w:rFonts w:ascii="Symbol" w:hAnsi="Symbol"/>
      </w:rPr>
    </w:lvl>
    <w:lvl w:ilvl="1" w:tplc="EB2CB6EC">
      <w:numFmt w:val="bullet"/>
      <w:lvlText w:val=""/>
      <w:lvlJc w:val="left"/>
      <w:pPr>
        <w:ind w:left="1440" w:hanging="360"/>
      </w:pPr>
      <w:rPr>
        <w:rFonts w:ascii="Symbol" w:hAnsi="Symbol"/>
      </w:rPr>
    </w:lvl>
    <w:lvl w:ilvl="2" w:tplc="1D4EA09E">
      <w:numFmt w:val="bullet"/>
      <w:lvlText w:val=""/>
      <w:lvlJc w:val="left"/>
      <w:pPr>
        <w:ind w:left="2160" w:hanging="360"/>
      </w:pPr>
      <w:rPr>
        <w:rFonts w:ascii="Wingdings" w:hAnsi="Wingdings"/>
      </w:rPr>
    </w:lvl>
    <w:lvl w:ilvl="3" w:tplc="4D86781C">
      <w:numFmt w:val="bullet"/>
      <w:lvlText w:val=""/>
      <w:lvlJc w:val="left"/>
      <w:pPr>
        <w:ind w:left="2880" w:hanging="360"/>
      </w:pPr>
      <w:rPr>
        <w:rFonts w:ascii="Symbol" w:hAnsi="Symbol"/>
      </w:rPr>
    </w:lvl>
    <w:lvl w:ilvl="4" w:tplc="309C280E">
      <w:numFmt w:val="bullet"/>
      <w:lvlText w:val="o"/>
      <w:lvlJc w:val="left"/>
      <w:pPr>
        <w:ind w:left="3600" w:hanging="360"/>
      </w:pPr>
      <w:rPr>
        <w:rFonts w:ascii="Courier New" w:hAnsi="Courier New" w:cs="Courier New"/>
      </w:rPr>
    </w:lvl>
    <w:lvl w:ilvl="5" w:tplc="1AC8D88A">
      <w:numFmt w:val="bullet"/>
      <w:lvlText w:val=""/>
      <w:lvlJc w:val="left"/>
      <w:pPr>
        <w:ind w:left="4320" w:hanging="360"/>
      </w:pPr>
      <w:rPr>
        <w:rFonts w:ascii="Wingdings" w:hAnsi="Wingdings"/>
      </w:rPr>
    </w:lvl>
    <w:lvl w:ilvl="6" w:tplc="D2DE34F2">
      <w:numFmt w:val="bullet"/>
      <w:lvlText w:val=""/>
      <w:lvlJc w:val="left"/>
      <w:pPr>
        <w:ind w:left="5040" w:hanging="360"/>
      </w:pPr>
      <w:rPr>
        <w:rFonts w:ascii="Symbol" w:hAnsi="Symbol"/>
      </w:rPr>
    </w:lvl>
    <w:lvl w:ilvl="7" w:tplc="B26C7E36">
      <w:numFmt w:val="bullet"/>
      <w:lvlText w:val="o"/>
      <w:lvlJc w:val="left"/>
      <w:pPr>
        <w:ind w:left="5760" w:hanging="360"/>
      </w:pPr>
      <w:rPr>
        <w:rFonts w:ascii="Courier New" w:hAnsi="Courier New" w:cs="Courier New"/>
      </w:rPr>
    </w:lvl>
    <w:lvl w:ilvl="8" w:tplc="542EB8AE">
      <w:numFmt w:val="bullet"/>
      <w:lvlText w:val=""/>
      <w:lvlJc w:val="left"/>
      <w:pPr>
        <w:ind w:left="6480" w:hanging="360"/>
      </w:pPr>
      <w:rPr>
        <w:rFonts w:ascii="Wingdings" w:hAnsi="Wingdings"/>
      </w:rPr>
    </w:lvl>
  </w:abstractNum>
  <w:abstractNum w:abstractNumId="19" w15:restartNumberingAfterBreak="0">
    <w:nsid w:val="79311089"/>
    <w:multiLevelType w:val="multilevel"/>
    <w:tmpl w:val="0D340552"/>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138112171">
    <w:abstractNumId w:val="6"/>
  </w:num>
  <w:num w:numId="2" w16cid:durableId="1333724553">
    <w:abstractNumId w:val="3"/>
  </w:num>
  <w:num w:numId="3" w16cid:durableId="788671421">
    <w:abstractNumId w:val="8"/>
  </w:num>
  <w:num w:numId="4" w16cid:durableId="1751848363">
    <w:abstractNumId w:val="9"/>
  </w:num>
  <w:num w:numId="5" w16cid:durableId="1037047409">
    <w:abstractNumId w:val="1"/>
  </w:num>
  <w:num w:numId="6" w16cid:durableId="1552033444">
    <w:abstractNumId w:val="10"/>
  </w:num>
  <w:num w:numId="7" w16cid:durableId="1115826541">
    <w:abstractNumId w:val="13"/>
  </w:num>
  <w:num w:numId="8" w16cid:durableId="586422312">
    <w:abstractNumId w:val="18"/>
  </w:num>
  <w:num w:numId="9" w16cid:durableId="946891300">
    <w:abstractNumId w:val="15"/>
  </w:num>
  <w:num w:numId="10" w16cid:durableId="1086150037">
    <w:abstractNumId w:val="14"/>
  </w:num>
  <w:num w:numId="11" w16cid:durableId="1133863033">
    <w:abstractNumId w:val="5"/>
  </w:num>
  <w:num w:numId="12" w16cid:durableId="105661413">
    <w:abstractNumId w:val="16"/>
  </w:num>
  <w:num w:numId="13" w16cid:durableId="1211695518">
    <w:abstractNumId w:val="12"/>
  </w:num>
  <w:num w:numId="14" w16cid:durableId="938564984">
    <w:abstractNumId w:val="11"/>
  </w:num>
  <w:num w:numId="15" w16cid:durableId="362022078">
    <w:abstractNumId w:val="19"/>
  </w:num>
  <w:num w:numId="16" w16cid:durableId="1025980195">
    <w:abstractNumId w:val="0"/>
  </w:num>
  <w:num w:numId="17" w16cid:durableId="1322999627">
    <w:abstractNumId w:val="7"/>
  </w:num>
  <w:num w:numId="18" w16cid:durableId="1743330377">
    <w:abstractNumId w:val="17"/>
  </w:num>
  <w:num w:numId="19" w16cid:durableId="1970740385">
    <w:abstractNumId w:val="2"/>
  </w:num>
  <w:num w:numId="20" w16cid:durableId="1520043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120"/>
    <w:rsid w:val="00064453"/>
    <w:rsid w:val="001F5197"/>
    <w:rsid w:val="002E797A"/>
    <w:rsid w:val="00303754"/>
    <w:rsid w:val="003C6B5D"/>
    <w:rsid w:val="0054304F"/>
    <w:rsid w:val="00695462"/>
    <w:rsid w:val="007F1891"/>
    <w:rsid w:val="00846EAF"/>
    <w:rsid w:val="008F6544"/>
    <w:rsid w:val="00917120"/>
    <w:rsid w:val="00996C54"/>
    <w:rsid w:val="009B61F0"/>
    <w:rsid w:val="009C56F6"/>
    <w:rsid w:val="00B6635E"/>
    <w:rsid w:val="00B76D4D"/>
    <w:rsid w:val="00C74C24"/>
    <w:rsid w:val="00CA73EF"/>
    <w:rsid w:val="00D32508"/>
    <w:rsid w:val="00EC4F2E"/>
    <w:rsid w:val="00F1590D"/>
    <w:rsid w:val="00F278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269B9"/>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7Tablebodybulleted">
    <w:name w:val="7 Table body bulleted"/>
    <w:basedOn w:val="Normal"/>
    <w:qFormat/>
    <w:rsid w:val="00453697"/>
    <w:pPr>
      <w:numPr>
        <w:numId w:val="14"/>
      </w:numPr>
      <w:tabs>
        <w:tab w:val="num" w:pos="360"/>
      </w:tabs>
      <w:suppressAutoHyphens w:val="0"/>
      <w:autoSpaceDN/>
      <w:spacing w:after="120" w:line="240" w:lineRule="auto"/>
      <w:ind w:left="0" w:right="284" w:firstLine="0"/>
    </w:pPr>
    <w:rPr>
      <w:rFonts w:eastAsia="MS Mincho"/>
      <w:color w:val="auto"/>
      <w:sz w:val="20"/>
      <w:lang w:val="en-US" w:eastAsia="en-US"/>
    </w:rPr>
  </w:style>
  <w:style w:type="paragraph" w:customStyle="1" w:styleId="Default">
    <w:name w:val="Default"/>
    <w:rsid w:val="00453697"/>
    <w:pPr>
      <w:autoSpaceDE w:val="0"/>
    </w:pPr>
    <w:rPr>
      <w:rFonts w:ascii="Calibri" w:hAnsi="Calibri" w:cs="Calibri"/>
      <w:color w:val="000000"/>
      <w:sz w:val="24"/>
      <w:szCs w:val="24"/>
    </w:rPr>
  </w:style>
  <w:style w:type="numbering" w:customStyle="1" w:styleId="WWOutlineListStyle3">
    <w:name w:val="WW_OutlineListStyle_3"/>
    <w:basedOn w:val="NoList"/>
    <w:rsid w:val="00453697"/>
    <w:pPr>
      <w:numPr>
        <w:numId w:val="15"/>
      </w:numPr>
    </w:pPr>
  </w:style>
  <w:style w:type="paragraph" w:customStyle="1" w:styleId="1bodycopy">
    <w:name w:val="1 body copy"/>
    <w:basedOn w:val="Normal"/>
    <w:link w:val="1bodycopyChar"/>
    <w:qFormat/>
    <w:rsid w:val="009C495D"/>
    <w:pPr>
      <w:suppressAutoHyphens w:val="0"/>
      <w:autoSpaceDN/>
      <w:spacing w:after="120" w:line="240" w:lineRule="auto"/>
    </w:pPr>
    <w:rPr>
      <w:rFonts w:eastAsia="MS Mincho"/>
      <w:color w:val="auto"/>
      <w:sz w:val="20"/>
      <w:lang w:val="en-US" w:eastAsia="en-US"/>
    </w:rPr>
  </w:style>
  <w:style w:type="character" w:customStyle="1" w:styleId="1bodycopyChar">
    <w:name w:val="1 body copy Char"/>
    <w:link w:val="1bodycopy"/>
    <w:rsid w:val="009C495D"/>
    <w:rPr>
      <w:rFonts w:eastAsia="MS Mincho"/>
      <w:szCs w:val="24"/>
      <w:lang w:val="en-US" w:eastAsia="en-US"/>
    </w:rPr>
  </w:style>
  <w:style w:type="paragraph" w:customStyle="1" w:styleId="7Tablebodycopy">
    <w:name w:val="7 Table body copy"/>
    <w:basedOn w:val="1bodycopy"/>
    <w:qFormat/>
    <w:rsid w:val="001C0F54"/>
    <w:pPr>
      <w:spacing w:after="60"/>
    </w:pPr>
  </w:style>
  <w:style w:type="paragraph" w:customStyle="1" w:styleId="xmsocommenttext">
    <w:name w:val="x_msocommenttext"/>
    <w:basedOn w:val="Normal"/>
    <w:rsid w:val="000701E3"/>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300D64"/>
  </w:style>
  <w:style w:type="table" w:styleId="TableGrid">
    <w:name w:val="Table Grid"/>
    <w:basedOn w:val="TableNormal"/>
    <w:uiPriority w:val="39"/>
    <w:rsid w:val="00731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11939">
      <w:bodyDiv w:val="1"/>
      <w:marLeft w:val="0"/>
      <w:marRight w:val="0"/>
      <w:marTop w:val="0"/>
      <w:marBottom w:val="0"/>
      <w:divBdr>
        <w:top w:val="none" w:sz="0" w:space="0" w:color="auto"/>
        <w:left w:val="none" w:sz="0" w:space="0" w:color="auto"/>
        <w:bottom w:val="none" w:sz="0" w:space="0" w:color="auto"/>
        <w:right w:val="none" w:sz="0" w:space="0" w:color="auto"/>
      </w:divBdr>
      <w:divsChild>
        <w:div w:id="481893795">
          <w:marLeft w:val="4560"/>
          <w:marRight w:val="4560"/>
          <w:marTop w:val="0"/>
          <w:marBottom w:val="0"/>
          <w:divBdr>
            <w:top w:val="single" w:sz="2" w:space="0" w:color="auto"/>
            <w:left w:val="single" w:sz="2" w:space="0" w:color="auto"/>
            <w:bottom w:val="single" w:sz="2" w:space="0" w:color="auto"/>
            <w:right w:val="single" w:sz="2" w:space="0" w:color="auto"/>
          </w:divBdr>
          <w:divsChild>
            <w:div w:id="829442574">
              <w:marLeft w:val="0"/>
              <w:marRight w:val="0"/>
              <w:marTop w:val="0"/>
              <w:marBottom w:val="0"/>
              <w:divBdr>
                <w:top w:val="single" w:sz="2" w:space="0" w:color="auto"/>
                <w:left w:val="single" w:sz="2" w:space="0" w:color="auto"/>
                <w:bottom w:val="single" w:sz="2" w:space="0" w:color="auto"/>
                <w:right w:val="single" w:sz="2" w:space="0" w:color="auto"/>
              </w:divBdr>
            </w:div>
          </w:divsChild>
        </w:div>
        <w:div w:id="1937979105">
          <w:marLeft w:val="4560"/>
          <w:marRight w:val="4560"/>
          <w:marTop w:val="0"/>
          <w:marBottom w:val="0"/>
          <w:divBdr>
            <w:top w:val="single" w:sz="2" w:space="0" w:color="auto"/>
            <w:left w:val="single" w:sz="2" w:space="0" w:color="auto"/>
            <w:bottom w:val="single" w:sz="2" w:space="0" w:color="auto"/>
            <w:right w:val="single" w:sz="2" w:space="0" w:color="auto"/>
          </w:divBdr>
          <w:divsChild>
            <w:div w:id="297999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ndowmentfoundation.org.uk/evidence-summaries/teaching-learning-toolkit/small-group-tui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endowmentfoundation.org.uk/education-evidence/teaching-learning-toolkit/oral-language-interven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ndowmentfoundation.org.uk/evidence-summaries/teaching-learning-toolkit/phonic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68626BBD5D3C42A0F71C4CC8B8D685" ma:contentTypeVersion="17" ma:contentTypeDescription="Create a new document." ma:contentTypeScope="" ma:versionID="c158e6040b1dbb6934e54aea9dd6d1e3">
  <xsd:schema xmlns:xsd="http://www.w3.org/2001/XMLSchema" xmlns:xs="http://www.w3.org/2001/XMLSchema" xmlns:p="http://schemas.microsoft.com/office/2006/metadata/properties" xmlns:ns3="efeaf41a-ff59-45fb-876b-925472e845d8" xmlns:ns4="bebed8d0-5e79-4ab5-81c8-cea05a8de00f" targetNamespace="http://schemas.microsoft.com/office/2006/metadata/properties" ma:root="true" ma:fieldsID="f923ee4a05a9aa686f581bab1f24db87" ns3:_="" ns4:_="">
    <xsd:import namespace="efeaf41a-ff59-45fb-876b-925472e845d8"/>
    <xsd:import namespace="bebed8d0-5e79-4ab5-81c8-cea05a8de00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MediaServiceObjectDetectorVersions" minOccurs="0"/>
                <xsd:element ref="ns4:_activity"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eaf41a-ff59-45fb-876b-925472e845d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bed8d0-5e79-4ab5-81c8-cea05a8de00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feaf41a-ff59-45fb-876b-925472e845d8">
      <UserInfo>
        <DisplayName>Kirsty Wilton</DisplayName>
        <AccountId>42</AccountId>
        <AccountType/>
      </UserInfo>
      <UserInfo>
        <DisplayName>Sarah Wood</DisplayName>
        <AccountId>13</AccountId>
        <AccountType/>
      </UserInfo>
    </SharedWithUsers>
    <_activity xmlns="bebed8d0-5e79-4ab5-81c8-cea05a8de00f" xsi:nil="true"/>
  </documentManagement>
</p:properties>
</file>

<file path=customXml/itemProps1.xml><?xml version="1.0" encoding="utf-8"?>
<ds:datastoreItem xmlns:ds="http://schemas.openxmlformats.org/officeDocument/2006/customXml" ds:itemID="{F1948DF2-DE8D-4D9D-9F35-C8966A0964BA}">
  <ds:schemaRefs>
    <ds:schemaRef ds:uri="http://schemas.openxmlformats.org/officeDocument/2006/bibliography"/>
  </ds:schemaRefs>
</ds:datastoreItem>
</file>

<file path=customXml/itemProps2.xml><?xml version="1.0" encoding="utf-8"?>
<ds:datastoreItem xmlns:ds="http://schemas.openxmlformats.org/officeDocument/2006/customXml" ds:itemID="{1AE8669F-433E-4257-B292-2AD785869BBE}">
  <ds:schemaRefs>
    <ds:schemaRef ds:uri="http://schemas.microsoft.com/sharepoint/v3/contenttype/forms"/>
  </ds:schemaRefs>
</ds:datastoreItem>
</file>

<file path=customXml/itemProps3.xml><?xml version="1.0" encoding="utf-8"?>
<ds:datastoreItem xmlns:ds="http://schemas.openxmlformats.org/officeDocument/2006/customXml" ds:itemID="{07E7AB10-24D6-40A3-AED1-EA9C1A1CF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eaf41a-ff59-45fb-876b-925472e845d8"/>
    <ds:schemaRef ds:uri="bebed8d0-5e79-4ab5-81c8-cea05a8de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3D4187-2CE0-4AAB-8E0E-CB28DB9D3A34}">
  <ds:schemaRefs>
    <ds:schemaRef ds:uri="http://schemas.microsoft.com/office/2006/metadata/properties"/>
    <ds:schemaRef ds:uri="http://schemas.microsoft.com/office/infopath/2007/PartnerControls"/>
    <ds:schemaRef ds:uri="efeaf41a-ff59-45fb-876b-925472e845d8"/>
    <ds:schemaRef ds:uri="bebed8d0-5e79-4ab5-81c8-cea05a8de00f"/>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10</Pages>
  <Words>2430</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Kirsty Wilton</cp:lastModifiedBy>
  <cp:revision>4</cp:revision>
  <cp:lastPrinted>2022-12-07T09:54:00Z</cp:lastPrinted>
  <dcterms:created xsi:type="dcterms:W3CDTF">2026-03-02T12:57:00Z</dcterms:created>
  <dcterms:modified xsi:type="dcterms:W3CDTF">2026-03-06T10:14:00Z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0x0101006E68626BBD5D3C42A0F71C4CC8B8D685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